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t: 257 000 </w:t>
      </w:r>
      <w:r w:rsidR="002E6AE9">
        <w:rPr>
          <w:rFonts w:ascii="Arial" w:hAnsi="Arial"/>
          <w:color w:val="0F1978"/>
          <w:sz w:val="20"/>
          <w:szCs w:val="20"/>
        </w:rPr>
        <w:t>942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bookmarkStart w:id="0" w:name="_GoBack"/>
    <w:bookmarkEnd w:id="0"/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D31E82">
        <w:rPr>
          <w:rFonts w:ascii="Arial" w:hAnsi="Arial"/>
          <w:b/>
          <w:color w:val="000000" w:themeColor="text1"/>
          <w:sz w:val="20"/>
          <w:szCs w:val="20"/>
        </w:rPr>
        <w:t>2. 3. 2023</w:t>
      </w:r>
    </w:p>
    <w:p w:rsidR="0064364D" w:rsidRDefault="0064364D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64364D" w:rsidRDefault="0064364D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D31E82" w:rsidRPr="00D31E82" w:rsidRDefault="0064364D" w:rsidP="00D31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943634" w:themeColor="accent2" w:themeShade="BF"/>
          <w:sz w:val="36"/>
          <w:szCs w:val="36"/>
        </w:rPr>
      </w:pPr>
      <w:r>
        <w:rPr>
          <w:rFonts w:ascii="Arial" w:hAnsi="Arial"/>
          <w:b/>
        </w:rPr>
        <w:t xml:space="preserve">                </w:t>
      </w:r>
      <w:r w:rsidR="00D31E82" w:rsidRPr="00D31E82">
        <w:rPr>
          <w:b/>
          <w:color w:val="943634" w:themeColor="accent2" w:themeShade="BF"/>
          <w:sz w:val="36"/>
          <w:szCs w:val="36"/>
        </w:rPr>
        <w:t>PRAHA 5 PŘEDSTAVILA ROZPOČET NA ROK 2023, realizace klíčových investic je závislá na spolufinancování hlavním městem Prahou a příspěvcích soukromých investorů</w:t>
      </w:r>
    </w:p>
    <w:p w:rsidR="0064364D" w:rsidRPr="0064364D" w:rsidRDefault="0064364D" w:rsidP="0064364D">
      <w:pPr>
        <w:jc w:val="both"/>
        <w:rPr>
          <w:rFonts w:ascii="Arial" w:hAnsi="Arial"/>
          <w:b/>
          <w:sz w:val="24"/>
          <w:szCs w:val="24"/>
        </w:rPr>
      </w:pP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Pátá městská část představila letošní rozpočet, který bude schvalovat zastupitelstvo na svém zasedání 7. března. Největší výzvou pro nové vedení radnice bude zajistit financování pro řadu investic, které </w:t>
      </w:r>
      <w:proofErr w:type="spellStart"/>
      <w:r>
        <w:rPr>
          <w:b/>
          <w:color w:val="000000"/>
          <w:sz w:val="28"/>
          <w:szCs w:val="28"/>
        </w:rPr>
        <w:t>zasmluvnila</w:t>
      </w:r>
      <w:proofErr w:type="spellEnd"/>
      <w:r>
        <w:rPr>
          <w:b/>
          <w:color w:val="000000"/>
          <w:sz w:val="28"/>
          <w:szCs w:val="28"/>
        </w:rPr>
        <w:t xml:space="preserve"> předchozí koalice. Právě na tyto výdaje totiž v kase městské části v budoucnu nebude dostatek prostředků a jejich financování není ani jinak zajištěno. V letošním roce by měla MČ hospodařit s rozpočtem v objemu 1 miliarda 141 milionů Kč.</w:t>
      </w: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i/>
          <w:color w:val="000000"/>
        </w:rPr>
      </w:pPr>
      <w:r>
        <w:rPr>
          <w:i/>
          <w:color w:val="000000"/>
        </w:rPr>
        <w:t xml:space="preserve">„Nechceme pokračovat v trendu, kdy se žilo na dluh. Během našeho mandátu chceme zásadně změnit přístup k hospodaření a zavést zodpovědné plánování investic. Zdá se, že naši předchůdci plánovali jen v ročním horizontu, každý rok sestavovali střednědobý výhled rozpočtu s výrazně převyšujícími výdaji nad příjmy, ale stamilionovými budoucími schodky se netrápili. Chybějící zdroje na rozvoj naší městské části nyní vyčítají nám,” </w:t>
      </w:r>
      <w:r>
        <w:rPr>
          <w:color w:val="000000"/>
        </w:rPr>
        <w:t>říká Jolana Dočekalová, radní pro finance, investice, obchodní aktivity, dotace a EU fondy a dodává:</w:t>
      </w:r>
      <w:r>
        <w:rPr>
          <w:i/>
          <w:color w:val="000000"/>
        </w:rPr>
        <w:t xml:space="preserve"> „S koaličními partnery si posvítíme na zbytečné </w:t>
      </w:r>
      <w:r>
        <w:rPr>
          <w:i/>
          <w:color w:val="000000"/>
        </w:rPr>
        <w:t>výdaje, jako</w:t>
      </w:r>
      <w:r>
        <w:rPr>
          <w:i/>
          <w:color w:val="000000"/>
        </w:rPr>
        <w:t xml:space="preserve"> je naddimenzovaný vozový park, vysoké ceny energií nebo konzultační a poradenské služby.  Budeme jednat s hlavním městem o spolufinancování nových škol nebo oprav chodníků, ale také s developery o využití kontribucí v oblastech, kde staví. Dále budeme také využívat všechny dotační možnosti.“</w:t>
      </w: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Běžné výdaje</w:t>
      </w: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color w:val="000000"/>
        </w:rPr>
      </w:pPr>
      <w:r>
        <w:rPr>
          <w:color w:val="000000"/>
        </w:rPr>
        <w:t>Schodek běžných výdajů MČ Praha 5 v roce 2023 počítá s 16 miliony. Pro srovnání v loňském roce byl plánovaný provozní schodek 44 milionů.</w:t>
      </w: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color w:val="000000"/>
        </w:rPr>
      </w:pPr>
      <w:r>
        <w:rPr>
          <w:color w:val="000000"/>
        </w:rPr>
        <w:t xml:space="preserve">„Torzo rozpočtu, který nám tu naši předchůdci zanechali, jsme přepracovali a rovnou jsme zavedli jednoduché provozní úspory. Redukujeme vozový park (z 13 vozů ponecháváme 8), omezujeme konzultační a poradenské služby, PR konzultace nebo jsme snížili </w:t>
      </w:r>
      <w:proofErr w:type="spellStart"/>
      <w:r>
        <w:rPr>
          <w:color w:val="000000"/>
        </w:rPr>
        <w:t>reprefondy</w:t>
      </w:r>
      <w:proofErr w:type="spellEnd"/>
      <w:r>
        <w:rPr>
          <w:color w:val="000000"/>
        </w:rPr>
        <w:t xml:space="preserve"> na pohoštění a občerstvení,“ říká Jolana Dočekalová</w:t>
      </w:r>
      <w:r>
        <w:rPr>
          <w:color w:val="000000"/>
        </w:rPr>
        <w:t>.</w:t>
      </w: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color w:val="000000"/>
        </w:rPr>
      </w:pPr>
      <w:r>
        <w:rPr>
          <w:color w:val="000000"/>
        </w:rPr>
        <w:t xml:space="preserve">Další výzvou bude vypořádání se s růstem cen energií a inflaci. MČ Praha 5 má celou řadu příspěvkových organizací, celkem 26 základních a mateřských škol a Centrum sociální a ošetřovatelské pomoci s 90 zaměstnanci. Zvýšení cen energií se proto promítlo do navýšení provozního příspěvku těmto organizacím. </w:t>
      </w: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color w:val="000000"/>
        </w:rPr>
      </w:pPr>
      <w:r>
        <w:rPr>
          <w:color w:val="000000"/>
        </w:rPr>
        <w:lastRenderedPageBreak/>
        <w:t>Současně vedení radnice mapuje a analyzuje chod úřadu tak, aby případné změny byly systematické a zodpovědné, nikoli unáhlené. Strategické změny se projeví v dlouhodobějším horizontu, ale budou trvalé.</w:t>
      </w: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Investice</w:t>
      </w: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color w:val="000000"/>
        </w:rPr>
      </w:pPr>
      <w:r>
        <w:rPr>
          <w:color w:val="000000"/>
        </w:rPr>
        <w:t>Pětkový rozpočet na rok 2023 je proinvestiční. Letos jsou v plánu investice ve výši 413 milionů. Prioritou jsou investice do nových základních a mateřských škol či významné rozšíření kapacit stávajících ZŠ. Kromě školských projektů chce Pětka vybudovat dům s komunitním bydlením a dalšími službami pro seniory, zrekonstruovat budovy ve svém majetku nebo revitalizovat parky.</w:t>
      </w: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color w:val="000000"/>
        </w:rPr>
      </w:pPr>
      <w:r>
        <w:rPr>
          <w:color w:val="000000"/>
        </w:rPr>
        <w:t>Největší plánované investiční akce v roce 2023:</w:t>
      </w:r>
    </w:p>
    <w:p w:rsidR="00D31E82" w:rsidRDefault="00D31E82" w:rsidP="00D31E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14" w:hanging="357"/>
      </w:pPr>
      <w:r>
        <w:rPr>
          <w:color w:val="000000"/>
        </w:rPr>
        <w:t xml:space="preserve">ZŠ Pod </w:t>
      </w:r>
      <w:proofErr w:type="spellStart"/>
      <w:r>
        <w:rPr>
          <w:color w:val="000000"/>
        </w:rPr>
        <w:t>Žvahovem</w:t>
      </w:r>
      <w:proofErr w:type="spellEnd"/>
      <w:r>
        <w:rPr>
          <w:color w:val="000000"/>
        </w:rPr>
        <w:t xml:space="preserve"> (80 mil. Kč) - stavba nové kuchyně a rekonstrukce jídelny</w:t>
      </w:r>
    </w:p>
    <w:p w:rsidR="00D31E82" w:rsidRDefault="00D31E82" w:rsidP="00D31E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14" w:hanging="357"/>
      </w:pPr>
      <w:r>
        <w:rPr>
          <w:color w:val="000000"/>
        </w:rPr>
        <w:t>výstavba komunitního bydlení pro seniory se sociální službou v Hlubočepech (54 mil. Kč)</w:t>
      </w:r>
    </w:p>
    <w:p w:rsidR="00D31E82" w:rsidRDefault="00D31E82" w:rsidP="00D31E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14" w:hanging="357"/>
      </w:pPr>
      <w:r>
        <w:rPr>
          <w:color w:val="000000"/>
        </w:rPr>
        <w:t xml:space="preserve">zajištění kybernetické bezpečnosti IS, rekonstrukce sítí LAN, vybavení </w:t>
      </w:r>
      <w:proofErr w:type="spellStart"/>
      <w:r>
        <w:rPr>
          <w:color w:val="000000"/>
        </w:rPr>
        <w:t>serverovny</w:t>
      </w:r>
      <w:proofErr w:type="spellEnd"/>
      <w:r>
        <w:rPr>
          <w:color w:val="000000"/>
        </w:rPr>
        <w:t xml:space="preserve"> (51 mil. Kč)</w:t>
      </w:r>
    </w:p>
    <w:p w:rsidR="00D31E82" w:rsidRDefault="00D31E82" w:rsidP="00D31E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14" w:hanging="357"/>
      </w:pPr>
      <w:r>
        <w:rPr>
          <w:color w:val="000000"/>
        </w:rPr>
        <w:t>ZŠ a MŠ Kořenského (33 mil. Kč) - vestavba půdního prostoru</w:t>
      </w:r>
    </w:p>
    <w:p w:rsidR="00D31E82" w:rsidRDefault="00D31E82" w:rsidP="00D31E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14" w:hanging="357"/>
      </w:pPr>
      <w:r>
        <w:rPr>
          <w:color w:val="000000"/>
        </w:rPr>
        <w:t>multifunkční hřiště na Hořejším nábřeží (30 mil. Kč) - rekonstrukce</w:t>
      </w:r>
    </w:p>
    <w:p w:rsidR="00D31E82" w:rsidRDefault="00D31E82" w:rsidP="00D31E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14" w:hanging="357"/>
      </w:pPr>
      <w:r>
        <w:rPr>
          <w:color w:val="000000"/>
        </w:rPr>
        <w:t xml:space="preserve">park </w:t>
      </w:r>
      <w:proofErr w:type="spellStart"/>
      <w:r>
        <w:rPr>
          <w:color w:val="000000"/>
        </w:rPr>
        <w:t>Mrázovka</w:t>
      </w:r>
      <w:proofErr w:type="spellEnd"/>
      <w:r>
        <w:rPr>
          <w:color w:val="000000"/>
        </w:rPr>
        <w:t xml:space="preserve"> (24 mil Kč) – rekonstrukce</w:t>
      </w: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color w:val="000000"/>
        </w:rPr>
      </w:pPr>
      <w:r>
        <w:rPr>
          <w:color w:val="000000"/>
        </w:rPr>
        <w:t xml:space="preserve">Dále </w:t>
      </w:r>
      <w:proofErr w:type="spellStart"/>
      <w:r>
        <w:rPr>
          <w:color w:val="000000"/>
        </w:rPr>
        <w:t>např</w:t>
      </w:r>
      <w:proofErr w:type="spellEnd"/>
      <w:r>
        <w:rPr>
          <w:color w:val="000000"/>
        </w:rPr>
        <w:t xml:space="preserve">: vybudování archivu pro MČ, rekonstrukce bytového domu v ul. Elišky Peškové, dvě nové třídy na </w:t>
      </w:r>
      <w:proofErr w:type="spellStart"/>
      <w:r>
        <w:rPr>
          <w:color w:val="000000"/>
        </w:rPr>
        <w:t>Poštovce</w:t>
      </w:r>
      <w:proofErr w:type="spellEnd"/>
      <w:r>
        <w:rPr>
          <w:color w:val="000000"/>
        </w:rPr>
        <w:t>.</w:t>
      </w: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color w:val="000000"/>
        </w:rPr>
      </w:pP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Investice v dlouhodobém horizontu</w:t>
      </w: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color w:val="000000"/>
        </w:rPr>
      </w:pPr>
      <w:r>
        <w:rPr>
          <w:color w:val="000000"/>
        </w:rPr>
        <w:t xml:space="preserve">V posledním desetiletí došlo k dynamickému rozvoji Prahy 5 zejména výstavbou nových obytných čtvrtí. To způsobilo značné zvýšení požadavků na kapacity veřejné vybavenosti především ve školství. Podle demografických předpokladů bude potřeba do roku 2030 postavit minimálně 3 základní školy a několik mateřských škol zejména na Barrandově, Smíchově a v Košířích. </w:t>
      </w: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color w:val="000000"/>
        </w:rPr>
      </w:pPr>
      <w:r>
        <w:rPr>
          <w:color w:val="000000"/>
        </w:rPr>
        <w:t xml:space="preserve">Hlavní zátěží rozpočtu v následujících letech jsou proto projekty dvou nových základní škol, které ale MČ není schopna zrealizovat z vlastních zdrojů. Tyto záměry rozpracované a </w:t>
      </w:r>
      <w:proofErr w:type="spellStart"/>
      <w:r>
        <w:rPr>
          <w:color w:val="000000"/>
        </w:rPr>
        <w:t>zasmluvněné</w:t>
      </w:r>
      <w:proofErr w:type="spellEnd"/>
      <w:r>
        <w:rPr>
          <w:color w:val="000000"/>
        </w:rPr>
        <w:t xml:space="preserve"> předchozím vedením mají navíc velmi vysoké realizační náklady v poměru na žáka.</w:t>
      </w:r>
      <w:r>
        <w:rPr>
          <w:color w:val="000000"/>
        </w:rPr>
        <w:br/>
      </w: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color w:val="000000"/>
          <w:u w:val="single"/>
        </w:rPr>
      </w:pPr>
      <w:r>
        <w:rPr>
          <w:color w:val="000000"/>
          <w:u w:val="single"/>
        </w:rPr>
        <w:t>Náklady na nové školy v Praze 5:</w:t>
      </w:r>
    </w:p>
    <w:p w:rsidR="00D31E82" w:rsidRDefault="00D31E82" w:rsidP="00D31E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14" w:hanging="357"/>
      </w:pPr>
      <w:r>
        <w:rPr>
          <w:color w:val="000000"/>
        </w:rPr>
        <w:t>ZŠ Smíchov - místo pro jednoho žáka = více jak 2 mil. Kč</w:t>
      </w:r>
      <w:r>
        <w:rPr>
          <w:color w:val="000000"/>
        </w:rPr>
        <w:br/>
        <w:t>540 dětí + 2 přípravné třídy, objem budovy 69.000 m</w:t>
      </w:r>
      <w:r>
        <w:rPr>
          <w:color w:val="000000"/>
          <w:vertAlign w:val="superscript"/>
        </w:rPr>
        <w:t>3</w:t>
      </w:r>
      <w:r>
        <w:rPr>
          <w:color w:val="000000"/>
        </w:rPr>
        <w:t>, odhadované náklady 1,1 mld. Kč</w:t>
      </w:r>
    </w:p>
    <w:p w:rsidR="00D31E82" w:rsidRDefault="00D31E82" w:rsidP="00D31E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14" w:hanging="357"/>
      </w:pPr>
      <w:r>
        <w:rPr>
          <w:color w:val="000000"/>
        </w:rPr>
        <w:t xml:space="preserve">ZŠ </w:t>
      </w:r>
      <w:proofErr w:type="gramStart"/>
      <w:r>
        <w:rPr>
          <w:color w:val="000000"/>
        </w:rPr>
        <w:t>Košíře  místo</w:t>
      </w:r>
      <w:proofErr w:type="gramEnd"/>
      <w:r>
        <w:rPr>
          <w:color w:val="000000"/>
        </w:rPr>
        <w:t xml:space="preserve"> pro jednoho žáka = více jak 1,76 mil. Kč</w:t>
      </w:r>
      <w:r>
        <w:rPr>
          <w:color w:val="000000"/>
        </w:rPr>
        <w:br/>
        <w:t>první stupeň 300 dětí + přípravná třída, objem budovy 20.000 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vysoutěženo</w:t>
      </w:r>
      <w:proofErr w:type="spellEnd"/>
      <w:r>
        <w:rPr>
          <w:color w:val="000000"/>
        </w:rPr>
        <w:t xml:space="preserve"> metodou design &amp; </w:t>
      </w:r>
      <w:proofErr w:type="spellStart"/>
      <w:r>
        <w:rPr>
          <w:color w:val="000000"/>
        </w:rPr>
        <w:t>build</w:t>
      </w:r>
      <w:proofErr w:type="spellEnd"/>
      <w:r>
        <w:rPr>
          <w:color w:val="000000"/>
        </w:rPr>
        <w:t xml:space="preserve"> za 530 mil. Kč (v roce 2022)</w:t>
      </w: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color w:val="000000"/>
          <w:u w:val="single"/>
        </w:rPr>
      </w:pPr>
      <w:r>
        <w:rPr>
          <w:color w:val="000000"/>
          <w:u w:val="single"/>
        </w:rPr>
        <w:t>Porovnání s jinými MČ:</w:t>
      </w:r>
    </w:p>
    <w:p w:rsidR="00D31E82" w:rsidRDefault="00D31E82" w:rsidP="00D31E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14" w:hanging="357"/>
      </w:pPr>
      <w:r>
        <w:rPr>
          <w:color w:val="000000"/>
        </w:rPr>
        <w:t>ZŠ a MŠ u Elektry (Praha 9) místo pro jednoho žáka = 764 tis. Kč</w:t>
      </w:r>
      <w:r>
        <w:rPr>
          <w:color w:val="000000"/>
        </w:rPr>
        <w:br/>
        <w:t>720 dětí + 72 dětí MŠ, objem budovy 40.000 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vysoutěženo</w:t>
      </w:r>
      <w:proofErr w:type="spellEnd"/>
      <w:r>
        <w:rPr>
          <w:color w:val="000000"/>
        </w:rPr>
        <w:t xml:space="preserve"> za 550 mil. Kč (v roce 2021)</w:t>
      </w:r>
    </w:p>
    <w:p w:rsidR="00D31E82" w:rsidRDefault="00D31E82" w:rsidP="00D31E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14" w:hanging="357"/>
      </w:pPr>
      <w:r>
        <w:rPr>
          <w:color w:val="000000"/>
        </w:rPr>
        <w:t>ZŠ Šeberov ( Praha Šeberov) - místo pro jednoho žáka = 1, 071 mil. Kč</w:t>
      </w:r>
      <w:r>
        <w:rPr>
          <w:color w:val="000000"/>
        </w:rPr>
        <w:br/>
        <w:t xml:space="preserve">420 dětí, </w:t>
      </w:r>
      <w:r>
        <w:t xml:space="preserve">objem budovy 52.000 </w:t>
      </w:r>
      <w:proofErr w:type="gramStart"/>
      <w:r>
        <w:t>m</w:t>
      </w:r>
      <w:r>
        <w:rPr>
          <w:vertAlign w:val="superscript"/>
        </w:rPr>
        <w:t>3</w:t>
      </w:r>
      <w:r>
        <w:rPr>
          <w:color w:val="000000"/>
        </w:rPr>
        <w:t xml:space="preserve"> ,</w:t>
      </w:r>
      <w:proofErr w:type="spellStart"/>
      <w:r>
        <w:rPr>
          <w:color w:val="000000"/>
        </w:rPr>
        <w:t>vysoutěženo</w:t>
      </w:r>
      <w:proofErr w:type="spellEnd"/>
      <w:proofErr w:type="gramEnd"/>
      <w:r>
        <w:rPr>
          <w:color w:val="000000"/>
        </w:rPr>
        <w:t xml:space="preserve"> za 450 mil. Kč  (v roce 202</w:t>
      </w:r>
      <w:r>
        <w:t>2</w:t>
      </w:r>
      <w:r>
        <w:rPr>
          <w:color w:val="000000"/>
        </w:rPr>
        <w:t>)</w:t>
      </w:r>
      <w:r>
        <w:rPr>
          <w:color w:val="000000"/>
        </w:rPr>
        <w:br/>
      </w:r>
    </w:p>
    <w:p w:rsidR="00D31E82" w:rsidRDefault="00D31E82" w:rsidP="00D31E8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color w:val="000000"/>
        </w:rPr>
      </w:pPr>
      <w:r>
        <w:rPr>
          <w:i/>
          <w:color w:val="000000"/>
        </w:rPr>
        <w:t xml:space="preserve">“V příštích několika letech nás čekají investice do výstavby dvou základních škol, které nebyly finančně zajištěny. V minulém volebním období sice začala jednání s hlavním městem o jejich spolufinancování, ale nebyla dotažena do zdárného konce. Realizace klíčových investic plánujeme obecně zajišťovat vícezdrojovým financováním. Zásadní budou právě finanční prostředky hlavního města, doplněné o příspěvky soukromých investorů a aktivně získané finanční zdroje z dotací” </w:t>
      </w:r>
      <w:r>
        <w:rPr>
          <w:color w:val="000000"/>
        </w:rPr>
        <w:t>říká místostarosta Radek Janoušek, který má v gesci územní rozvoj a strategické investice</w:t>
      </w:r>
      <w:r>
        <w:rPr>
          <w:i/>
          <w:color w:val="000000"/>
        </w:rPr>
        <w:t>.</w:t>
      </w:r>
    </w:p>
    <w:p w:rsidR="00F261C3" w:rsidRPr="00D2208D" w:rsidRDefault="00F261C3" w:rsidP="00D31E82">
      <w:pPr>
        <w:jc w:val="both"/>
        <w:rPr>
          <w:rFonts w:ascii="Arial" w:hAnsi="Arial"/>
          <w:b/>
          <w:color w:val="000000" w:themeColor="text1"/>
          <w:sz w:val="20"/>
          <w:szCs w:val="20"/>
        </w:rPr>
      </w:pPr>
    </w:p>
    <w:sectPr w:rsidR="00F261C3" w:rsidRPr="00D2208D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000" w:rsidRDefault="00316000">
      <w:pPr>
        <w:spacing w:line="240" w:lineRule="auto"/>
      </w:pPr>
      <w:r>
        <w:separator/>
      </w:r>
    </w:p>
  </w:endnote>
  <w:endnote w:type="continuationSeparator" w:id="0">
    <w:p w:rsidR="00316000" w:rsidRDefault="00316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000" w:rsidRDefault="00316000">
      <w:pPr>
        <w:spacing w:line="240" w:lineRule="auto"/>
      </w:pPr>
      <w:r>
        <w:separator/>
      </w:r>
    </w:p>
  </w:footnote>
  <w:footnote w:type="continuationSeparator" w:id="0">
    <w:p w:rsidR="00316000" w:rsidRDefault="003160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3079"/>
    <w:multiLevelType w:val="multilevel"/>
    <w:tmpl w:val="8BF0F77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32D5B"/>
    <w:rsid w:val="000522D8"/>
    <w:rsid w:val="00073DB9"/>
    <w:rsid w:val="00082C03"/>
    <w:rsid w:val="0009367E"/>
    <w:rsid w:val="000B3A58"/>
    <w:rsid w:val="000E3C74"/>
    <w:rsid w:val="000F0318"/>
    <w:rsid w:val="000F3BAF"/>
    <w:rsid w:val="000F5B0F"/>
    <w:rsid w:val="00101E61"/>
    <w:rsid w:val="00112178"/>
    <w:rsid w:val="00113535"/>
    <w:rsid w:val="001307BB"/>
    <w:rsid w:val="00134385"/>
    <w:rsid w:val="0014415B"/>
    <w:rsid w:val="0016752F"/>
    <w:rsid w:val="00181B6A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2E6AE9"/>
    <w:rsid w:val="00301B25"/>
    <w:rsid w:val="00303D60"/>
    <w:rsid w:val="0030581F"/>
    <w:rsid w:val="00316000"/>
    <w:rsid w:val="00393046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1048"/>
    <w:rsid w:val="005A23D6"/>
    <w:rsid w:val="005A2603"/>
    <w:rsid w:val="005D53CA"/>
    <w:rsid w:val="005E2FF9"/>
    <w:rsid w:val="005F11A9"/>
    <w:rsid w:val="005F166F"/>
    <w:rsid w:val="0064364D"/>
    <w:rsid w:val="0067571E"/>
    <w:rsid w:val="00685CC9"/>
    <w:rsid w:val="006D510D"/>
    <w:rsid w:val="006F282F"/>
    <w:rsid w:val="006F682B"/>
    <w:rsid w:val="007062A0"/>
    <w:rsid w:val="0071151E"/>
    <w:rsid w:val="007213D8"/>
    <w:rsid w:val="00760076"/>
    <w:rsid w:val="00780058"/>
    <w:rsid w:val="007A3AE7"/>
    <w:rsid w:val="007A6B00"/>
    <w:rsid w:val="007E2BF2"/>
    <w:rsid w:val="00800789"/>
    <w:rsid w:val="00820579"/>
    <w:rsid w:val="008218D1"/>
    <w:rsid w:val="00825005"/>
    <w:rsid w:val="008362C1"/>
    <w:rsid w:val="00837BF0"/>
    <w:rsid w:val="00854723"/>
    <w:rsid w:val="00884CAF"/>
    <w:rsid w:val="00895907"/>
    <w:rsid w:val="00896ACA"/>
    <w:rsid w:val="008A3EC7"/>
    <w:rsid w:val="008A4618"/>
    <w:rsid w:val="008B78D0"/>
    <w:rsid w:val="008C39EE"/>
    <w:rsid w:val="008C72E3"/>
    <w:rsid w:val="008D480D"/>
    <w:rsid w:val="008F0F8A"/>
    <w:rsid w:val="009012B5"/>
    <w:rsid w:val="009433F7"/>
    <w:rsid w:val="00943C06"/>
    <w:rsid w:val="00982BA2"/>
    <w:rsid w:val="0099766A"/>
    <w:rsid w:val="009A317D"/>
    <w:rsid w:val="009B37D5"/>
    <w:rsid w:val="009D3EE3"/>
    <w:rsid w:val="009D43A0"/>
    <w:rsid w:val="00A27483"/>
    <w:rsid w:val="00A51420"/>
    <w:rsid w:val="00A55F25"/>
    <w:rsid w:val="00A97A6E"/>
    <w:rsid w:val="00AE3F11"/>
    <w:rsid w:val="00AF0DA9"/>
    <w:rsid w:val="00B0222F"/>
    <w:rsid w:val="00B0602B"/>
    <w:rsid w:val="00B16315"/>
    <w:rsid w:val="00B342AD"/>
    <w:rsid w:val="00B361FA"/>
    <w:rsid w:val="00BA3C71"/>
    <w:rsid w:val="00BD20E0"/>
    <w:rsid w:val="00BE04D9"/>
    <w:rsid w:val="00C05E19"/>
    <w:rsid w:val="00C1617F"/>
    <w:rsid w:val="00C3543D"/>
    <w:rsid w:val="00C40E33"/>
    <w:rsid w:val="00C466C9"/>
    <w:rsid w:val="00C77C4D"/>
    <w:rsid w:val="00C95B43"/>
    <w:rsid w:val="00C971BE"/>
    <w:rsid w:val="00CB6215"/>
    <w:rsid w:val="00CC7734"/>
    <w:rsid w:val="00CE6647"/>
    <w:rsid w:val="00D04D7C"/>
    <w:rsid w:val="00D10796"/>
    <w:rsid w:val="00D2208D"/>
    <w:rsid w:val="00D2369D"/>
    <w:rsid w:val="00D31924"/>
    <w:rsid w:val="00D31E82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F0003B"/>
    <w:rsid w:val="00F261C3"/>
    <w:rsid w:val="00F44E64"/>
    <w:rsid w:val="00F54E75"/>
    <w:rsid w:val="00F54FF1"/>
    <w:rsid w:val="00F66ACE"/>
    <w:rsid w:val="00FA4C61"/>
    <w:rsid w:val="00FB2EF7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A1238-54AB-4275-9408-3B62F4EF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Froňková Dousková Gabriela</cp:lastModifiedBy>
  <cp:revision>9</cp:revision>
  <cp:lastPrinted>2023-03-02T08:09:00Z</cp:lastPrinted>
  <dcterms:created xsi:type="dcterms:W3CDTF">2023-01-16T08:13:00Z</dcterms:created>
  <dcterms:modified xsi:type="dcterms:W3CDTF">2023-03-02T08:41:00Z</dcterms:modified>
</cp:coreProperties>
</file>