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BD6289" w:rsidRPr="00BD6289" w:rsidRDefault="00BD6289" w:rsidP="00BD6289">
      <w:pPr>
        <w:pStyle w:val="Bezmezertun"/>
        <w:spacing w:line="276" w:lineRule="auto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     </w:t>
      </w:r>
      <w:r w:rsidRPr="00BD6289">
        <w:rPr>
          <w:rFonts w:ascii="Arial" w:hAnsi="Arial" w:cs="Arial"/>
          <w:color w:val="943634" w:themeColor="accent2" w:themeShade="BF"/>
          <w:sz w:val="28"/>
          <w:szCs w:val="28"/>
        </w:rPr>
        <w:t xml:space="preserve">NOVÝ DVORECKÝ MOST BY MĚL ODLEHČIT HLAVNĚ ANDĚLU </w:t>
      </w:r>
    </w:p>
    <w:p w:rsidR="00BD6289" w:rsidRDefault="00BD6289" w:rsidP="00BD6289">
      <w:pPr>
        <w:pStyle w:val="Bezmezertun"/>
        <w:spacing w:line="276" w:lineRule="auto"/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Symbolickým poklepáním na základní kámen dnes začala výstavba Dvoreckého mostu. Hotový má být do konce roku 2024. Propojí Podolí a </w:t>
      </w:r>
      <w:proofErr w:type="spellStart"/>
      <w:r>
        <w:rPr>
          <w:rFonts w:ascii="Arial" w:hAnsi="Arial" w:cs="Arial"/>
          <w:sz w:val="20"/>
          <w:szCs w:val="20"/>
        </w:rPr>
        <w:t>Zlíchov</w:t>
      </w:r>
      <w:proofErr w:type="spellEnd"/>
      <w:r>
        <w:rPr>
          <w:rFonts w:ascii="Arial" w:hAnsi="Arial" w:cs="Arial"/>
          <w:sz w:val="20"/>
          <w:szCs w:val="20"/>
        </w:rPr>
        <w:t xml:space="preserve">. Most bude sloužit městské hromadné dopravě, integrovanému záchrannému systému, cyklistům a pěším. Přijde na 1 075 000 000 korun bez DPH a postaví ho sdružení Metrostav TBR </w:t>
      </w:r>
      <w:proofErr w:type="spellStart"/>
      <w:r>
        <w:rPr>
          <w:rFonts w:ascii="Arial" w:hAnsi="Arial" w:cs="Arial"/>
          <w:sz w:val="20"/>
          <w:szCs w:val="20"/>
        </w:rPr>
        <w:t>Firesta</w:t>
      </w:r>
      <w:proofErr w:type="spellEnd"/>
      <w:r>
        <w:rPr>
          <w:rFonts w:ascii="Arial" w:hAnsi="Arial" w:cs="Arial"/>
          <w:sz w:val="20"/>
          <w:szCs w:val="20"/>
        </w:rPr>
        <w:t xml:space="preserve"> STRABAG – Dvorecký most.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„</w:t>
      </w:r>
      <w:r>
        <w:rPr>
          <w:rFonts w:ascii="Arial" w:hAnsi="Arial" w:cs="Arial"/>
          <w:b w:val="0"/>
          <w:bCs/>
          <w:i/>
          <w:iCs/>
          <w:sz w:val="20"/>
          <w:szCs w:val="20"/>
        </w:rPr>
        <w:t>Dvorecký most propojí přes Vltavu Prahu 4 a Prahu 5 a dopravně odlehčí především Andělu. Architektonicky zdařilý návrh jeho podoby dobře zapadne do probíhajícího dynamického rozvoje Pětky. Naváže, mimo jiné, i na další moderní dominantu, která se v naší městské části chystá, a tím je výstavba moderního dopravního Terminálu Smíchov,</w:t>
      </w:r>
      <w:r>
        <w:rPr>
          <w:rFonts w:ascii="Arial" w:hAnsi="Arial" w:cs="Arial"/>
          <w:b w:val="0"/>
          <w:bCs/>
          <w:sz w:val="20"/>
          <w:szCs w:val="20"/>
        </w:rPr>
        <w:t>“ upozornila Renáta Zajíčková (ODS), starostka Prahy 5. „</w:t>
      </w:r>
      <w:r>
        <w:rPr>
          <w:rFonts w:ascii="Arial" w:hAnsi="Arial" w:cs="Arial"/>
          <w:b w:val="0"/>
          <w:bCs/>
          <w:i/>
          <w:iCs/>
          <w:sz w:val="20"/>
          <w:szCs w:val="20"/>
        </w:rPr>
        <w:t>Měla by to být krásná vstupní brána do jižní části Prahy 5</w:t>
      </w:r>
      <w:r>
        <w:rPr>
          <w:rFonts w:ascii="Arial" w:hAnsi="Arial" w:cs="Arial"/>
          <w:b w:val="0"/>
          <w:bCs/>
          <w:sz w:val="20"/>
          <w:szCs w:val="20"/>
        </w:rPr>
        <w:t xml:space="preserve">,“ dodala. Zároveň vyzdvihla, že v tomto případě se podařilo nalézt shodu a podporu pro podobu mostu a jeho výstavbu napříč politickým spektrem, a to </w:t>
      </w:r>
      <w:r w:rsidR="00682151">
        <w:rPr>
          <w:rFonts w:ascii="Arial" w:hAnsi="Arial" w:cs="Arial"/>
          <w:b w:val="0"/>
          <w:bCs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 w:val="0"/>
          <w:bCs/>
          <w:sz w:val="20"/>
          <w:szCs w:val="20"/>
        </w:rPr>
        <w:t>na úrovni hlavního města Prahy i ve spolupráci metropole a dotčených městských částí.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Pro pražskou MHD je most jednou z nejzásadnějších staveb. V jižní části města se spojí tramvajové trati vedoucí od Barrandova a Modřan, a zlepší se tak i přestupní vazby mezi dopravními uzly Lihovar a Dvorce. Most, který je určen pro MHD, cyklisty a chodce, bude moci v případě nutnosti využívat i například záchranná služba.</w:t>
      </w:r>
      <w:r>
        <w:rPr>
          <w:rFonts w:ascii="Arial" w:hAnsi="Arial" w:cs="Arial"/>
          <w:b w:val="0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 w:val="0"/>
          <w:bCs/>
          <w:sz w:val="20"/>
          <w:szCs w:val="20"/>
        </w:rPr>
        <w:t xml:space="preserve">Projekt počítá s tím, že východní vyústění mostu bude u Žlutých lázní severně od Jeremenkovy ulice, západní pak poblíž tramvajové zastávky Lihovar. Součástí jsou nové tramvajové a autobusové zastávky Dvorecký most. 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„</w:t>
      </w:r>
      <w:r>
        <w:rPr>
          <w:rFonts w:ascii="Arial" w:hAnsi="Arial" w:cs="Arial"/>
          <w:b w:val="0"/>
          <w:bCs/>
          <w:i/>
          <w:sz w:val="20"/>
          <w:szCs w:val="20"/>
        </w:rPr>
        <w:t>Stavba by měla být koordinována s rekonstrukcí Barrandovského mostu, která je rozložena do etap, aby mohly být na nově vzniklý most plynule převedeny plánované autobusové linky. Doufáme, že tomu tak opravdu bude. Určitě to budeme vyžadovat</w:t>
      </w:r>
      <w:r>
        <w:rPr>
          <w:rFonts w:ascii="Arial" w:hAnsi="Arial" w:cs="Arial"/>
          <w:b w:val="0"/>
          <w:bCs/>
          <w:sz w:val="20"/>
          <w:szCs w:val="20"/>
        </w:rPr>
        <w:t>,“ uvedl Jan Panenka, předseda Výboru dopravního ZMČ Praha 5</w:t>
      </w:r>
      <w:r w:rsidR="00361501">
        <w:rPr>
          <w:rFonts w:ascii="Arial" w:hAnsi="Arial" w:cs="Arial"/>
          <w:b w:val="0"/>
          <w:bCs/>
          <w:sz w:val="20"/>
          <w:szCs w:val="20"/>
        </w:rPr>
        <w:t xml:space="preserve"> (ODS).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Dvorecký most bude devatenáctým propojením břehů Vltavy. Na obou březích Vltavy vznikne řada doplňujících objektů. Na Zlíchovské straně to bude velká nájezdová ocelová rampa pro cyklisty, schodiště včleněná do terénu a v opěře mostu bude objekt informačního centra PID s kavárnou pro návštěvníky. Na straně Podolí u Žlutých lázní se počítá s velkou sportovní arénou a zázemím pro údržbu mostu a okolí. 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Trámový sdružený most komorového průřezu z předpjatého betonu s horní mostovkou bude široký 16 metrů, přičemž sedm metrů zabere tramvajová trať, která bude uzpůsobena i pro provoz autobusů. </w:t>
      </w:r>
      <w:r w:rsidR="00682151">
        <w:rPr>
          <w:rFonts w:ascii="Arial" w:hAnsi="Arial" w:cs="Arial"/>
          <w:b w:val="0"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 w:val="0"/>
          <w:bCs/>
          <w:sz w:val="20"/>
          <w:szCs w:val="20"/>
        </w:rPr>
        <w:t xml:space="preserve">Po obou stranách povedou chodníky a cyklostezka.  Délka mostu bude dosahovat 361 metrů a rozpětí polí se bude pohybovat od 30 do 87 metrů. Stav mostu budou zabezpečovat moderní technologie. 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Stavební práce jsou rozdělené do několika etap. První etapa zahrnuje především přeložky inženýrských sítí, zřízení přístupů na stavbu a ploch pro zařízení staveniště, demolici pozemních objektů a další terénní úpravy. Ve druhé etapě budou založeny pilíře, opěry a 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cyklolávka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>. Ve třetí a čtvrté etapě se budou betonovat jednotlivá pole mostu. V páté etapě se pak dokončí betonáž nosné konstrukce, v předstihu budou demontovány provizorní mosty, odtěženy provizorní přísypy a odstraněny zápory. Ve finálních dvou etapách je pak plánována výstavba mostního svršku, vozovek a tramvajového tělesa na mostě.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i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i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i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i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i/>
          <w:sz w:val="20"/>
          <w:szCs w:val="20"/>
        </w:rPr>
        <w:t>„Jsme rádi, že můžeme být u tohoto významného pražského dopravního projektu. Jako většina staveb na frekventovaných místech metropole, bude i tato extrémně náročná na logistiku. Výzvu představuje i unikátní design mostu, který prověří naše technologické schopnosti,“</w:t>
      </w:r>
      <w:r>
        <w:rPr>
          <w:rFonts w:ascii="Arial" w:hAnsi="Arial" w:cs="Arial"/>
          <w:b w:val="0"/>
          <w:bCs/>
          <w:sz w:val="20"/>
          <w:szCs w:val="20"/>
        </w:rPr>
        <w:t xml:space="preserve"> uvádí Aleš Gothard, předseda představenstva společnosti TBR Metrostav a.s.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Návrh mostu z bílého betonu odkazuje ke kubismu a brutalismu. Autoři z Atelieru 6 a 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Tubes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 xml:space="preserve"> se inspirovali Františkem Menclem, mimo jiné autorem Libeňského mostu, který si uvědomoval, jak je důležité, aby most dobře zapadl do okolní historické zástavby. Vedle toho autoři pojali most jako sochu – bílou bránu </w:t>
      </w:r>
      <w:r w:rsidR="00682151">
        <w:rPr>
          <w:rFonts w:ascii="Arial" w:hAnsi="Arial" w:cs="Arial"/>
          <w:b w:val="0"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 w:val="0"/>
          <w:bCs/>
          <w:sz w:val="20"/>
          <w:szCs w:val="20"/>
        </w:rPr>
        <w:t xml:space="preserve">do města, která bude nad Vltavou díky osvětlení integrovanému do zábradlí z umělého kamene zářit. </w:t>
      </w:r>
    </w:p>
    <w:p w:rsidR="00BD6289" w:rsidRDefault="00BD6289" w:rsidP="00BD6289">
      <w:pPr>
        <w:pStyle w:val="Bezmezertun"/>
        <w:spacing w:line="276" w:lineRule="auto"/>
        <w:rPr>
          <w:rFonts w:ascii="Arial" w:hAnsi="Arial" w:cs="Arial"/>
          <w:b w:val="0"/>
          <w:bCs/>
          <w:sz w:val="20"/>
          <w:szCs w:val="20"/>
        </w:rPr>
      </w:pPr>
    </w:p>
    <w:p w:rsidR="00BD6289" w:rsidRDefault="00BD6289" w:rsidP="00BD6289">
      <w:pPr>
        <w:rPr>
          <w:rFonts w:ascii="Arial" w:hAnsi="Arial"/>
          <w:sz w:val="24"/>
          <w:szCs w:val="24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F261C3" w:rsidRPr="00D2208D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0B" w:rsidRDefault="006F690B">
      <w:pPr>
        <w:spacing w:line="240" w:lineRule="auto"/>
      </w:pPr>
      <w:r>
        <w:separator/>
      </w:r>
    </w:p>
  </w:endnote>
  <w:endnote w:type="continuationSeparator" w:id="0">
    <w:p w:rsidR="006F690B" w:rsidRDefault="006F6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0B" w:rsidRDefault="006F690B">
      <w:pPr>
        <w:spacing w:line="240" w:lineRule="auto"/>
      </w:pPr>
      <w:r>
        <w:separator/>
      </w:r>
    </w:p>
  </w:footnote>
  <w:footnote w:type="continuationSeparator" w:id="0">
    <w:p w:rsidR="006F690B" w:rsidRDefault="006F69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0581F"/>
    <w:rsid w:val="00361501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67571E"/>
    <w:rsid w:val="00682151"/>
    <w:rsid w:val="006D510D"/>
    <w:rsid w:val="006F282F"/>
    <w:rsid w:val="006F682B"/>
    <w:rsid w:val="006F690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D6289"/>
    <w:rsid w:val="00BE04D9"/>
    <w:rsid w:val="00C05E19"/>
    <w:rsid w:val="00C3543D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7397D"/>
    <w:rsid w:val="00D81F12"/>
    <w:rsid w:val="00D9792D"/>
    <w:rsid w:val="00DE2D8E"/>
    <w:rsid w:val="00DF7E7C"/>
    <w:rsid w:val="00E07FC6"/>
    <w:rsid w:val="00E17F4C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1778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locked/>
    <w:rsid w:val="00BD6289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BD6289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</w:rPr>
  </w:style>
  <w:style w:type="paragraph" w:styleId="Bezmezer">
    <w:name w:val="No Spacing"/>
    <w:uiPriority w:val="1"/>
    <w:qFormat/>
    <w:rsid w:val="00BD628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ADFF-8A9E-4B91-B0E7-8B2850C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2022-09-13T11:53:00Z</dcterms:created>
  <dcterms:modified xsi:type="dcterms:W3CDTF">2022-09-13T12:20:00Z</dcterms:modified>
</cp:coreProperties>
</file>