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629" w:rsidRDefault="00595629">
      <w:pPr>
        <w:rPr>
          <w:rFonts w:ascii="Arial" w:hAnsi="Arial" w:cs="Arial"/>
        </w:rPr>
      </w:pPr>
    </w:p>
    <w:p w:rsidR="007F486B" w:rsidRDefault="007F486B">
      <w:pPr>
        <w:rPr>
          <w:rFonts w:ascii="Arial" w:hAnsi="Arial" w:cs="Arial"/>
        </w:rPr>
      </w:pPr>
    </w:p>
    <w:p w:rsidR="005D4EF4" w:rsidRPr="008F03B9" w:rsidRDefault="00691D99" w:rsidP="008F03B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5pt">
            <v:imagedata r:id="rId8" r:href="rId9"/>
          </v:shape>
        </w:pict>
      </w:r>
    </w:p>
    <w:p w:rsidR="005D4EF4" w:rsidRDefault="005D4EF4"/>
    <w:p w:rsidR="005D4EF4" w:rsidRDefault="005D4EF4"/>
    <w:p w:rsidR="008B4B9C" w:rsidRDefault="008B4B9C"/>
    <w:p w:rsidR="008B4B9C" w:rsidRDefault="008B4B9C"/>
    <w:p w:rsidR="008B4B9C" w:rsidRDefault="008B4B9C"/>
    <w:p w:rsidR="008B4B9C" w:rsidRDefault="008B4B9C"/>
    <w:p w:rsidR="008B4B9C" w:rsidRDefault="008B4B9C"/>
    <w:p w:rsidR="008B4B9C" w:rsidRDefault="008B4B9C"/>
    <w:p w:rsidR="008B4B9C" w:rsidRDefault="008B4B9C"/>
    <w:p w:rsidR="008B4B9C" w:rsidRDefault="008B4B9C"/>
    <w:p w:rsidR="008B4B9C" w:rsidRDefault="008B4B9C"/>
    <w:p w:rsidR="008B4B9C" w:rsidRDefault="008B4B9C"/>
    <w:p w:rsidR="008B4B9C" w:rsidRDefault="008B4B9C"/>
    <w:p w:rsidR="008B4B9C" w:rsidRDefault="008B4B9C"/>
    <w:p w:rsidR="005D4EF4" w:rsidRDefault="005D4EF4"/>
    <w:p w:rsidR="008B4B9C" w:rsidRDefault="008B4B9C"/>
    <w:p w:rsidR="008B4B9C" w:rsidRDefault="008B4B9C"/>
    <w:p w:rsidR="008B4B9C" w:rsidRDefault="008B4B9C"/>
    <w:p w:rsidR="008B4B9C" w:rsidRDefault="008B4B9C"/>
    <w:p w:rsidR="008B4B9C" w:rsidRDefault="008B4B9C"/>
    <w:p w:rsidR="008B4B9C" w:rsidRDefault="008B4B9C"/>
    <w:p w:rsidR="005D4EF4" w:rsidRDefault="005D4EF4"/>
    <w:p w:rsidR="005D4EF4" w:rsidRDefault="005D4EF4"/>
    <w:p w:rsidR="005D4EF4" w:rsidRDefault="00480281" w:rsidP="00523479">
      <w:pPr>
        <w:jc w:val="center"/>
        <w:rPr>
          <w:sz w:val="36"/>
        </w:rPr>
      </w:pPr>
      <w:r>
        <w:rPr>
          <w:sz w:val="36"/>
        </w:rPr>
        <w:t>Závěrečný účet</w:t>
      </w:r>
    </w:p>
    <w:p w:rsidR="005D4EF4" w:rsidRDefault="005D4EF4" w:rsidP="00523479">
      <w:pPr>
        <w:jc w:val="center"/>
        <w:rPr>
          <w:sz w:val="36"/>
        </w:rPr>
      </w:pPr>
    </w:p>
    <w:p w:rsidR="005D4EF4" w:rsidRDefault="005D4EF4" w:rsidP="00523479">
      <w:pPr>
        <w:jc w:val="center"/>
        <w:rPr>
          <w:sz w:val="36"/>
        </w:rPr>
      </w:pPr>
      <w:r>
        <w:rPr>
          <w:sz w:val="36"/>
        </w:rPr>
        <w:t>Městské části Praha 5</w:t>
      </w:r>
    </w:p>
    <w:p w:rsidR="005D4EF4" w:rsidRDefault="005D4EF4" w:rsidP="00523479">
      <w:pPr>
        <w:jc w:val="center"/>
        <w:rPr>
          <w:sz w:val="36"/>
        </w:rPr>
      </w:pPr>
    </w:p>
    <w:p w:rsidR="005D4EF4" w:rsidRDefault="005D4EF4" w:rsidP="00523479">
      <w:pPr>
        <w:jc w:val="center"/>
        <w:rPr>
          <w:sz w:val="36"/>
        </w:rPr>
      </w:pPr>
      <w:r>
        <w:rPr>
          <w:sz w:val="36"/>
        </w:rPr>
        <w:t>za rok 20</w:t>
      </w:r>
      <w:r w:rsidR="00931267">
        <w:rPr>
          <w:sz w:val="36"/>
        </w:rPr>
        <w:t>1</w:t>
      </w:r>
      <w:r w:rsidR="00FD17DB">
        <w:rPr>
          <w:sz w:val="36"/>
        </w:rPr>
        <w:t>3</w:t>
      </w:r>
    </w:p>
    <w:p w:rsidR="005D4EF4" w:rsidRDefault="005D4EF4"/>
    <w:p w:rsidR="005D4EF4" w:rsidRDefault="005D4EF4"/>
    <w:p w:rsidR="005D4EF4" w:rsidRDefault="005D4EF4"/>
    <w:p w:rsidR="005D4EF4" w:rsidRDefault="005D4EF4"/>
    <w:p w:rsidR="008B4B9C" w:rsidRDefault="008B4B9C"/>
    <w:p w:rsidR="005D4EF4" w:rsidRDefault="005D4EF4"/>
    <w:p w:rsidR="008F03B9" w:rsidRDefault="008F03B9" w:rsidP="008F03B9">
      <w:pPr>
        <w:ind w:left="3540" w:firstLine="708"/>
      </w:pPr>
    </w:p>
    <w:p w:rsidR="008B4B9C" w:rsidRDefault="008B4B9C" w:rsidP="008F03B9">
      <w:pPr>
        <w:ind w:left="3540" w:firstLine="708"/>
      </w:pPr>
    </w:p>
    <w:p w:rsidR="008F03B9" w:rsidRDefault="008F03B9" w:rsidP="008F03B9">
      <w:pPr>
        <w:ind w:left="3540" w:firstLine="708"/>
      </w:pPr>
    </w:p>
    <w:p w:rsidR="008F03B9" w:rsidRDefault="008F03B9" w:rsidP="008F03B9">
      <w:pPr>
        <w:ind w:left="3540" w:firstLine="708"/>
      </w:pPr>
    </w:p>
    <w:p w:rsidR="008F03B9" w:rsidRDefault="008F03B9" w:rsidP="008F03B9">
      <w:pPr>
        <w:ind w:left="3540" w:firstLine="708"/>
      </w:pPr>
    </w:p>
    <w:p w:rsidR="00BE05ED" w:rsidRDefault="00BE05ED" w:rsidP="008F03B9">
      <w:pPr>
        <w:ind w:left="3540" w:firstLine="708"/>
      </w:pPr>
    </w:p>
    <w:p w:rsidR="005D4EF4" w:rsidRDefault="009461D2" w:rsidP="009461D2">
      <w:pPr>
        <w:ind w:left="2832" w:firstLine="708"/>
        <w:jc w:val="both"/>
      </w:pPr>
      <w:r>
        <w:t xml:space="preserve">- </w:t>
      </w:r>
      <w:r w:rsidR="008F03B9">
        <w:t>P</w:t>
      </w:r>
      <w:r w:rsidR="005D4EF4">
        <w:t xml:space="preserve">raha, </w:t>
      </w:r>
      <w:r w:rsidR="00AD6DB2">
        <w:t>duben</w:t>
      </w:r>
      <w:r w:rsidR="00D81FD4">
        <w:t xml:space="preserve"> 201</w:t>
      </w:r>
      <w:r w:rsidR="00FD17DB">
        <w:t>4</w:t>
      </w:r>
      <w:r w:rsidR="008F03B9">
        <w:t xml:space="preserve"> -</w:t>
      </w:r>
    </w:p>
    <w:p w:rsidR="00383D5B" w:rsidRDefault="00383D5B">
      <w:pPr>
        <w:jc w:val="center"/>
      </w:pPr>
    </w:p>
    <w:p w:rsidR="005D4EF4" w:rsidRDefault="005D4EF4">
      <w:pPr>
        <w:sectPr w:rsidR="005D4EF4">
          <w:footerReference w:type="even" r:id="rId10"/>
          <w:footerReference w:type="default" r:id="rId11"/>
          <w:pgSz w:w="11906" w:h="16838"/>
          <w:pgMar w:top="1417" w:right="1417" w:bottom="1417" w:left="1417" w:header="709" w:footer="709" w:gutter="0"/>
          <w:cols w:space="708"/>
          <w:docGrid w:linePitch="360"/>
        </w:sectPr>
      </w:pPr>
    </w:p>
    <w:p w:rsidR="005D4EF4" w:rsidRDefault="005D4EF4" w:rsidP="00DB2015">
      <w:pPr>
        <w:pStyle w:val="Nadpis1"/>
      </w:pPr>
      <w:bookmarkStart w:id="0" w:name="_Toc385875195"/>
      <w:r>
        <w:lastRenderedPageBreak/>
        <w:t>Obsah</w:t>
      </w:r>
      <w:bookmarkEnd w:id="0"/>
    </w:p>
    <w:p w:rsidR="00ED7223" w:rsidRPr="007277E0" w:rsidRDefault="00691D99">
      <w:pPr>
        <w:pStyle w:val="Obsah1"/>
        <w:rPr>
          <w:rFonts w:ascii="Calibri" w:hAnsi="Calibri"/>
          <w:bCs w:val="0"/>
          <w:sz w:val="22"/>
          <w:szCs w:val="22"/>
        </w:rPr>
      </w:pPr>
      <w:r w:rsidRPr="00691D99">
        <w:rPr>
          <w:sz w:val="22"/>
          <w:szCs w:val="22"/>
        </w:rPr>
        <w:fldChar w:fldCharType="begin"/>
      </w:r>
      <w:r w:rsidR="005D4EF4" w:rsidRPr="00F20418">
        <w:rPr>
          <w:sz w:val="22"/>
          <w:szCs w:val="22"/>
        </w:rPr>
        <w:instrText xml:space="preserve"> TOC \o "1-6" \h \z </w:instrText>
      </w:r>
      <w:r w:rsidRPr="00691D99">
        <w:rPr>
          <w:sz w:val="22"/>
          <w:szCs w:val="22"/>
        </w:rPr>
        <w:fldChar w:fldCharType="separate"/>
      </w:r>
      <w:hyperlink w:anchor="_Toc385875195" w:history="1">
        <w:r w:rsidR="00ED7223" w:rsidRPr="00956800">
          <w:rPr>
            <w:rStyle w:val="Hypertextovodkaz"/>
          </w:rPr>
          <w:t>Obsah</w:t>
        </w:r>
        <w:r w:rsidR="00ED7223">
          <w:rPr>
            <w:webHidden/>
          </w:rPr>
          <w:tab/>
        </w:r>
        <w:r>
          <w:rPr>
            <w:webHidden/>
          </w:rPr>
          <w:fldChar w:fldCharType="begin"/>
        </w:r>
        <w:r w:rsidR="00ED7223">
          <w:rPr>
            <w:webHidden/>
          </w:rPr>
          <w:instrText xml:space="preserve"> PAGEREF _Toc385875195 \h </w:instrText>
        </w:r>
        <w:r>
          <w:rPr>
            <w:webHidden/>
          </w:rPr>
        </w:r>
        <w:r>
          <w:rPr>
            <w:webHidden/>
          </w:rPr>
          <w:fldChar w:fldCharType="separate"/>
        </w:r>
        <w:r w:rsidR="00160C91">
          <w:rPr>
            <w:webHidden/>
          </w:rPr>
          <w:t>2</w:t>
        </w:r>
        <w:r>
          <w:rPr>
            <w:webHidden/>
          </w:rPr>
          <w:fldChar w:fldCharType="end"/>
        </w:r>
      </w:hyperlink>
    </w:p>
    <w:p w:rsidR="00ED7223" w:rsidRPr="007277E0" w:rsidRDefault="00691D99">
      <w:pPr>
        <w:pStyle w:val="Obsah2"/>
        <w:tabs>
          <w:tab w:val="right" w:leader="dot" w:pos="9063"/>
        </w:tabs>
        <w:rPr>
          <w:rFonts w:ascii="Calibri" w:hAnsi="Calibri"/>
          <w:noProof/>
          <w:sz w:val="22"/>
          <w:szCs w:val="22"/>
        </w:rPr>
      </w:pPr>
      <w:hyperlink w:anchor="_Toc385875196" w:history="1">
        <w:r w:rsidR="00ED7223" w:rsidRPr="00956800">
          <w:rPr>
            <w:rStyle w:val="Hypertextovodkaz"/>
            <w:noProof/>
          </w:rPr>
          <w:t>1. Plnění rozpočtu příjmů a výdajů hlavní činnosti</w:t>
        </w:r>
        <w:r w:rsidR="00ED7223">
          <w:rPr>
            <w:noProof/>
            <w:webHidden/>
          </w:rPr>
          <w:tab/>
        </w:r>
        <w:r>
          <w:rPr>
            <w:noProof/>
            <w:webHidden/>
          </w:rPr>
          <w:fldChar w:fldCharType="begin"/>
        </w:r>
        <w:r w:rsidR="00ED7223">
          <w:rPr>
            <w:noProof/>
            <w:webHidden/>
          </w:rPr>
          <w:instrText xml:space="preserve"> PAGEREF _Toc385875196 \h </w:instrText>
        </w:r>
        <w:r>
          <w:rPr>
            <w:noProof/>
            <w:webHidden/>
          </w:rPr>
        </w:r>
        <w:r>
          <w:rPr>
            <w:noProof/>
            <w:webHidden/>
          </w:rPr>
          <w:fldChar w:fldCharType="separate"/>
        </w:r>
        <w:r w:rsidR="00160C91">
          <w:rPr>
            <w:noProof/>
            <w:webHidden/>
          </w:rPr>
          <w:t>4</w:t>
        </w:r>
        <w:r>
          <w:rPr>
            <w:noProof/>
            <w:webHidden/>
          </w:rPr>
          <w:fldChar w:fldCharType="end"/>
        </w:r>
      </w:hyperlink>
    </w:p>
    <w:p w:rsidR="00ED7223" w:rsidRPr="007277E0" w:rsidRDefault="00691D99">
      <w:pPr>
        <w:pStyle w:val="Obsah3"/>
        <w:tabs>
          <w:tab w:val="right" w:leader="dot" w:pos="9063"/>
        </w:tabs>
        <w:rPr>
          <w:rFonts w:ascii="Calibri" w:hAnsi="Calibri"/>
          <w:noProof/>
          <w:sz w:val="22"/>
          <w:szCs w:val="22"/>
        </w:rPr>
      </w:pPr>
      <w:hyperlink w:anchor="_Toc385875197" w:history="1">
        <w:r w:rsidR="00ED7223" w:rsidRPr="00956800">
          <w:rPr>
            <w:rStyle w:val="Hypertextovodkaz"/>
            <w:noProof/>
          </w:rPr>
          <w:t>Příjmy</w:t>
        </w:r>
        <w:r w:rsidR="00ED7223">
          <w:rPr>
            <w:noProof/>
            <w:webHidden/>
          </w:rPr>
          <w:tab/>
        </w:r>
        <w:r>
          <w:rPr>
            <w:noProof/>
            <w:webHidden/>
          </w:rPr>
          <w:fldChar w:fldCharType="begin"/>
        </w:r>
        <w:r w:rsidR="00ED7223">
          <w:rPr>
            <w:noProof/>
            <w:webHidden/>
          </w:rPr>
          <w:instrText xml:space="preserve"> PAGEREF _Toc385875197 \h </w:instrText>
        </w:r>
        <w:r>
          <w:rPr>
            <w:noProof/>
            <w:webHidden/>
          </w:rPr>
        </w:r>
        <w:r>
          <w:rPr>
            <w:noProof/>
            <w:webHidden/>
          </w:rPr>
          <w:fldChar w:fldCharType="separate"/>
        </w:r>
        <w:r w:rsidR="00160C91">
          <w:rPr>
            <w:noProof/>
            <w:webHidden/>
          </w:rPr>
          <w:t>5</w:t>
        </w:r>
        <w:r>
          <w:rPr>
            <w:noProof/>
            <w:webHidden/>
          </w:rPr>
          <w:fldChar w:fldCharType="end"/>
        </w:r>
      </w:hyperlink>
    </w:p>
    <w:p w:rsidR="00ED7223" w:rsidRPr="007277E0" w:rsidRDefault="00691D99">
      <w:pPr>
        <w:pStyle w:val="Obsah5"/>
        <w:tabs>
          <w:tab w:val="right" w:leader="dot" w:pos="9063"/>
        </w:tabs>
        <w:rPr>
          <w:rFonts w:ascii="Calibri" w:hAnsi="Calibri"/>
          <w:noProof/>
          <w:sz w:val="22"/>
          <w:szCs w:val="22"/>
        </w:rPr>
      </w:pPr>
      <w:hyperlink w:anchor="_Toc385875198" w:history="1">
        <w:r w:rsidR="00ED7223" w:rsidRPr="00956800">
          <w:rPr>
            <w:rStyle w:val="Hypertextovodkaz"/>
            <w:noProof/>
          </w:rPr>
          <w:t>Třída 1 Daňové příjmy</w:t>
        </w:r>
        <w:r w:rsidR="00ED7223">
          <w:rPr>
            <w:noProof/>
            <w:webHidden/>
          </w:rPr>
          <w:tab/>
        </w:r>
        <w:r>
          <w:rPr>
            <w:noProof/>
            <w:webHidden/>
          </w:rPr>
          <w:fldChar w:fldCharType="begin"/>
        </w:r>
        <w:r w:rsidR="00ED7223">
          <w:rPr>
            <w:noProof/>
            <w:webHidden/>
          </w:rPr>
          <w:instrText xml:space="preserve"> PAGEREF _Toc385875198 \h </w:instrText>
        </w:r>
        <w:r>
          <w:rPr>
            <w:noProof/>
            <w:webHidden/>
          </w:rPr>
        </w:r>
        <w:r>
          <w:rPr>
            <w:noProof/>
            <w:webHidden/>
          </w:rPr>
          <w:fldChar w:fldCharType="separate"/>
        </w:r>
        <w:r w:rsidR="00160C91">
          <w:rPr>
            <w:noProof/>
            <w:webHidden/>
          </w:rPr>
          <w:t>5</w:t>
        </w:r>
        <w:r>
          <w:rPr>
            <w:noProof/>
            <w:webHidden/>
          </w:rPr>
          <w:fldChar w:fldCharType="end"/>
        </w:r>
      </w:hyperlink>
    </w:p>
    <w:p w:rsidR="00ED7223" w:rsidRPr="007277E0" w:rsidRDefault="00691D99">
      <w:pPr>
        <w:pStyle w:val="Obsah5"/>
        <w:tabs>
          <w:tab w:val="right" w:leader="dot" w:pos="9063"/>
        </w:tabs>
        <w:rPr>
          <w:rFonts w:ascii="Calibri" w:hAnsi="Calibri"/>
          <w:noProof/>
          <w:sz w:val="22"/>
          <w:szCs w:val="22"/>
        </w:rPr>
      </w:pPr>
      <w:hyperlink w:anchor="_Toc385875199" w:history="1">
        <w:r w:rsidR="00ED7223" w:rsidRPr="00956800">
          <w:rPr>
            <w:rStyle w:val="Hypertextovodkaz"/>
            <w:noProof/>
          </w:rPr>
          <w:t>Třída 2 Nedaňové příjmy</w:t>
        </w:r>
        <w:r w:rsidR="00ED7223">
          <w:rPr>
            <w:noProof/>
            <w:webHidden/>
          </w:rPr>
          <w:tab/>
        </w:r>
        <w:r>
          <w:rPr>
            <w:noProof/>
            <w:webHidden/>
          </w:rPr>
          <w:fldChar w:fldCharType="begin"/>
        </w:r>
        <w:r w:rsidR="00ED7223">
          <w:rPr>
            <w:noProof/>
            <w:webHidden/>
          </w:rPr>
          <w:instrText xml:space="preserve"> PAGEREF _Toc385875199 \h </w:instrText>
        </w:r>
        <w:r>
          <w:rPr>
            <w:noProof/>
            <w:webHidden/>
          </w:rPr>
        </w:r>
        <w:r>
          <w:rPr>
            <w:noProof/>
            <w:webHidden/>
          </w:rPr>
          <w:fldChar w:fldCharType="separate"/>
        </w:r>
        <w:r w:rsidR="00160C91">
          <w:rPr>
            <w:noProof/>
            <w:webHidden/>
          </w:rPr>
          <w:t>5</w:t>
        </w:r>
        <w:r>
          <w:rPr>
            <w:noProof/>
            <w:webHidden/>
          </w:rPr>
          <w:fldChar w:fldCharType="end"/>
        </w:r>
      </w:hyperlink>
    </w:p>
    <w:p w:rsidR="00ED7223" w:rsidRPr="007277E0" w:rsidRDefault="00691D99">
      <w:pPr>
        <w:pStyle w:val="Obsah5"/>
        <w:tabs>
          <w:tab w:val="right" w:leader="dot" w:pos="9063"/>
        </w:tabs>
        <w:rPr>
          <w:rFonts w:ascii="Calibri" w:hAnsi="Calibri"/>
          <w:noProof/>
          <w:sz w:val="22"/>
          <w:szCs w:val="22"/>
        </w:rPr>
      </w:pPr>
      <w:hyperlink w:anchor="_Toc385875200" w:history="1">
        <w:r w:rsidR="00ED7223" w:rsidRPr="00956800">
          <w:rPr>
            <w:rStyle w:val="Hypertextovodkaz"/>
            <w:noProof/>
          </w:rPr>
          <w:t>Třída 3 Kapitálové příjmy</w:t>
        </w:r>
        <w:r w:rsidR="00ED7223">
          <w:rPr>
            <w:noProof/>
            <w:webHidden/>
          </w:rPr>
          <w:tab/>
        </w:r>
        <w:r>
          <w:rPr>
            <w:noProof/>
            <w:webHidden/>
          </w:rPr>
          <w:fldChar w:fldCharType="begin"/>
        </w:r>
        <w:r w:rsidR="00ED7223">
          <w:rPr>
            <w:noProof/>
            <w:webHidden/>
          </w:rPr>
          <w:instrText xml:space="preserve"> PAGEREF _Toc385875200 \h </w:instrText>
        </w:r>
        <w:r>
          <w:rPr>
            <w:noProof/>
            <w:webHidden/>
          </w:rPr>
        </w:r>
        <w:r>
          <w:rPr>
            <w:noProof/>
            <w:webHidden/>
          </w:rPr>
          <w:fldChar w:fldCharType="separate"/>
        </w:r>
        <w:r w:rsidR="00160C91">
          <w:rPr>
            <w:noProof/>
            <w:webHidden/>
          </w:rPr>
          <w:t>5</w:t>
        </w:r>
        <w:r>
          <w:rPr>
            <w:noProof/>
            <w:webHidden/>
          </w:rPr>
          <w:fldChar w:fldCharType="end"/>
        </w:r>
      </w:hyperlink>
    </w:p>
    <w:p w:rsidR="00ED7223" w:rsidRPr="007277E0" w:rsidRDefault="00691D99">
      <w:pPr>
        <w:pStyle w:val="Obsah5"/>
        <w:tabs>
          <w:tab w:val="right" w:leader="dot" w:pos="9063"/>
        </w:tabs>
        <w:rPr>
          <w:rFonts w:ascii="Calibri" w:hAnsi="Calibri"/>
          <w:noProof/>
          <w:sz w:val="22"/>
          <w:szCs w:val="22"/>
        </w:rPr>
      </w:pPr>
      <w:hyperlink w:anchor="_Toc385875201" w:history="1">
        <w:r w:rsidR="00ED7223" w:rsidRPr="00956800">
          <w:rPr>
            <w:rStyle w:val="Hypertextovodkaz"/>
            <w:noProof/>
          </w:rPr>
          <w:t>Třída 4 Přijaté transfery a převody z vlastních fondů hospodářské činnosti</w:t>
        </w:r>
        <w:r w:rsidR="00ED7223">
          <w:rPr>
            <w:noProof/>
            <w:webHidden/>
          </w:rPr>
          <w:tab/>
        </w:r>
        <w:r>
          <w:rPr>
            <w:noProof/>
            <w:webHidden/>
          </w:rPr>
          <w:fldChar w:fldCharType="begin"/>
        </w:r>
        <w:r w:rsidR="00ED7223">
          <w:rPr>
            <w:noProof/>
            <w:webHidden/>
          </w:rPr>
          <w:instrText xml:space="preserve"> PAGEREF _Toc385875201 \h </w:instrText>
        </w:r>
        <w:r>
          <w:rPr>
            <w:noProof/>
            <w:webHidden/>
          </w:rPr>
        </w:r>
        <w:r>
          <w:rPr>
            <w:noProof/>
            <w:webHidden/>
          </w:rPr>
          <w:fldChar w:fldCharType="separate"/>
        </w:r>
        <w:r w:rsidR="00160C91">
          <w:rPr>
            <w:noProof/>
            <w:webHidden/>
          </w:rPr>
          <w:t>6</w:t>
        </w:r>
        <w:r>
          <w:rPr>
            <w:noProof/>
            <w:webHidden/>
          </w:rPr>
          <w:fldChar w:fldCharType="end"/>
        </w:r>
      </w:hyperlink>
    </w:p>
    <w:p w:rsidR="00ED7223" w:rsidRPr="007277E0" w:rsidRDefault="00691D99">
      <w:pPr>
        <w:pStyle w:val="Obsah5"/>
        <w:tabs>
          <w:tab w:val="right" w:leader="dot" w:pos="9063"/>
        </w:tabs>
        <w:rPr>
          <w:rFonts w:ascii="Calibri" w:hAnsi="Calibri"/>
          <w:noProof/>
          <w:sz w:val="22"/>
          <w:szCs w:val="22"/>
        </w:rPr>
      </w:pPr>
      <w:hyperlink w:anchor="_Toc385875202" w:history="1">
        <w:r w:rsidR="00ED7223" w:rsidRPr="00956800">
          <w:rPr>
            <w:rStyle w:val="Hypertextovodkaz"/>
            <w:noProof/>
          </w:rPr>
          <w:t>Třída 8 Financování</w:t>
        </w:r>
        <w:r w:rsidR="00ED7223">
          <w:rPr>
            <w:noProof/>
            <w:webHidden/>
          </w:rPr>
          <w:tab/>
        </w:r>
        <w:r>
          <w:rPr>
            <w:noProof/>
            <w:webHidden/>
          </w:rPr>
          <w:fldChar w:fldCharType="begin"/>
        </w:r>
        <w:r w:rsidR="00ED7223">
          <w:rPr>
            <w:noProof/>
            <w:webHidden/>
          </w:rPr>
          <w:instrText xml:space="preserve"> PAGEREF _Toc385875202 \h </w:instrText>
        </w:r>
        <w:r>
          <w:rPr>
            <w:noProof/>
            <w:webHidden/>
          </w:rPr>
        </w:r>
        <w:r>
          <w:rPr>
            <w:noProof/>
            <w:webHidden/>
          </w:rPr>
          <w:fldChar w:fldCharType="separate"/>
        </w:r>
        <w:r w:rsidR="00160C91">
          <w:rPr>
            <w:noProof/>
            <w:webHidden/>
          </w:rPr>
          <w:t>7</w:t>
        </w:r>
        <w:r>
          <w:rPr>
            <w:noProof/>
            <w:webHidden/>
          </w:rPr>
          <w:fldChar w:fldCharType="end"/>
        </w:r>
      </w:hyperlink>
    </w:p>
    <w:p w:rsidR="00ED7223" w:rsidRPr="007277E0" w:rsidRDefault="00691D99">
      <w:pPr>
        <w:pStyle w:val="Obsah3"/>
        <w:tabs>
          <w:tab w:val="right" w:leader="dot" w:pos="9063"/>
        </w:tabs>
        <w:rPr>
          <w:rFonts w:ascii="Calibri" w:hAnsi="Calibri"/>
          <w:noProof/>
          <w:sz w:val="22"/>
          <w:szCs w:val="22"/>
        </w:rPr>
      </w:pPr>
      <w:hyperlink w:anchor="_Toc385875203" w:history="1">
        <w:r w:rsidR="00ED7223" w:rsidRPr="00956800">
          <w:rPr>
            <w:rStyle w:val="Hypertextovodkaz"/>
            <w:noProof/>
          </w:rPr>
          <w:t>Výdaje</w:t>
        </w:r>
        <w:r w:rsidR="00ED7223">
          <w:rPr>
            <w:noProof/>
            <w:webHidden/>
          </w:rPr>
          <w:tab/>
        </w:r>
        <w:r>
          <w:rPr>
            <w:noProof/>
            <w:webHidden/>
          </w:rPr>
          <w:fldChar w:fldCharType="begin"/>
        </w:r>
        <w:r w:rsidR="00ED7223">
          <w:rPr>
            <w:noProof/>
            <w:webHidden/>
          </w:rPr>
          <w:instrText xml:space="preserve"> PAGEREF _Toc385875203 \h </w:instrText>
        </w:r>
        <w:r>
          <w:rPr>
            <w:noProof/>
            <w:webHidden/>
          </w:rPr>
        </w:r>
        <w:r>
          <w:rPr>
            <w:noProof/>
            <w:webHidden/>
          </w:rPr>
          <w:fldChar w:fldCharType="separate"/>
        </w:r>
        <w:r w:rsidR="00160C91">
          <w:rPr>
            <w:noProof/>
            <w:webHidden/>
          </w:rPr>
          <w:t>8</w:t>
        </w:r>
        <w:r>
          <w:rPr>
            <w:noProof/>
            <w:webHidden/>
          </w:rPr>
          <w:fldChar w:fldCharType="end"/>
        </w:r>
      </w:hyperlink>
    </w:p>
    <w:p w:rsidR="00ED7223" w:rsidRPr="007277E0" w:rsidRDefault="00691D99">
      <w:pPr>
        <w:pStyle w:val="Obsah5"/>
        <w:tabs>
          <w:tab w:val="left" w:pos="2306"/>
          <w:tab w:val="right" w:leader="dot" w:pos="9063"/>
        </w:tabs>
        <w:rPr>
          <w:rFonts w:ascii="Calibri" w:hAnsi="Calibri"/>
          <w:noProof/>
          <w:sz w:val="22"/>
          <w:szCs w:val="22"/>
        </w:rPr>
      </w:pPr>
      <w:hyperlink w:anchor="_Toc385875204" w:history="1">
        <w:r w:rsidR="00ED7223" w:rsidRPr="00956800">
          <w:rPr>
            <w:rStyle w:val="Hypertextovodkaz"/>
            <w:noProof/>
          </w:rPr>
          <w:t>Kapitola 01</w:t>
        </w:r>
        <w:r w:rsidR="00ED7223" w:rsidRPr="007277E0">
          <w:rPr>
            <w:rFonts w:ascii="Calibri" w:hAnsi="Calibri"/>
            <w:noProof/>
            <w:sz w:val="22"/>
            <w:szCs w:val="22"/>
          </w:rPr>
          <w:tab/>
        </w:r>
        <w:r w:rsidR="00ED7223" w:rsidRPr="00956800">
          <w:rPr>
            <w:rStyle w:val="Hypertextovodkaz"/>
            <w:noProof/>
          </w:rPr>
          <w:t>Územní rozhodování a rozvoj bydlení</w:t>
        </w:r>
        <w:r w:rsidR="00ED7223">
          <w:rPr>
            <w:noProof/>
            <w:webHidden/>
          </w:rPr>
          <w:tab/>
        </w:r>
        <w:r>
          <w:rPr>
            <w:noProof/>
            <w:webHidden/>
          </w:rPr>
          <w:fldChar w:fldCharType="begin"/>
        </w:r>
        <w:r w:rsidR="00ED7223">
          <w:rPr>
            <w:noProof/>
            <w:webHidden/>
          </w:rPr>
          <w:instrText xml:space="preserve"> PAGEREF _Toc385875204 \h </w:instrText>
        </w:r>
        <w:r>
          <w:rPr>
            <w:noProof/>
            <w:webHidden/>
          </w:rPr>
        </w:r>
        <w:r>
          <w:rPr>
            <w:noProof/>
            <w:webHidden/>
          </w:rPr>
          <w:fldChar w:fldCharType="separate"/>
        </w:r>
        <w:r w:rsidR="00160C91">
          <w:rPr>
            <w:noProof/>
            <w:webHidden/>
          </w:rPr>
          <w:t>9</w:t>
        </w:r>
        <w:r>
          <w:rPr>
            <w:noProof/>
            <w:webHidden/>
          </w:rPr>
          <w:fldChar w:fldCharType="end"/>
        </w:r>
      </w:hyperlink>
    </w:p>
    <w:p w:rsidR="00ED7223" w:rsidRPr="007277E0" w:rsidRDefault="00691D99">
      <w:pPr>
        <w:pStyle w:val="Obsah5"/>
        <w:tabs>
          <w:tab w:val="left" w:pos="2306"/>
          <w:tab w:val="right" w:leader="dot" w:pos="9063"/>
        </w:tabs>
        <w:rPr>
          <w:rFonts w:ascii="Calibri" w:hAnsi="Calibri"/>
          <w:noProof/>
          <w:sz w:val="22"/>
          <w:szCs w:val="22"/>
        </w:rPr>
      </w:pPr>
      <w:hyperlink w:anchor="_Toc385875205" w:history="1">
        <w:r w:rsidR="00ED7223" w:rsidRPr="00956800">
          <w:rPr>
            <w:rStyle w:val="Hypertextovodkaz"/>
            <w:noProof/>
          </w:rPr>
          <w:t>Kapitola 02</w:t>
        </w:r>
        <w:r w:rsidR="00ED7223" w:rsidRPr="007277E0">
          <w:rPr>
            <w:rFonts w:ascii="Calibri" w:hAnsi="Calibri"/>
            <w:noProof/>
            <w:sz w:val="22"/>
            <w:szCs w:val="22"/>
          </w:rPr>
          <w:tab/>
        </w:r>
        <w:r w:rsidR="00ED7223" w:rsidRPr="00956800">
          <w:rPr>
            <w:rStyle w:val="Hypertextovodkaz"/>
            <w:noProof/>
          </w:rPr>
          <w:t>Městská zeleň a ochrana životního prostředí</w:t>
        </w:r>
        <w:r w:rsidR="00ED7223">
          <w:rPr>
            <w:noProof/>
            <w:webHidden/>
          </w:rPr>
          <w:tab/>
        </w:r>
        <w:r>
          <w:rPr>
            <w:noProof/>
            <w:webHidden/>
          </w:rPr>
          <w:fldChar w:fldCharType="begin"/>
        </w:r>
        <w:r w:rsidR="00ED7223">
          <w:rPr>
            <w:noProof/>
            <w:webHidden/>
          </w:rPr>
          <w:instrText xml:space="preserve"> PAGEREF _Toc385875205 \h </w:instrText>
        </w:r>
        <w:r>
          <w:rPr>
            <w:noProof/>
            <w:webHidden/>
          </w:rPr>
        </w:r>
        <w:r>
          <w:rPr>
            <w:noProof/>
            <w:webHidden/>
          </w:rPr>
          <w:fldChar w:fldCharType="separate"/>
        </w:r>
        <w:r w:rsidR="00160C91">
          <w:rPr>
            <w:noProof/>
            <w:webHidden/>
          </w:rPr>
          <w:t>9</w:t>
        </w:r>
        <w:r>
          <w:rPr>
            <w:noProof/>
            <w:webHidden/>
          </w:rPr>
          <w:fldChar w:fldCharType="end"/>
        </w:r>
      </w:hyperlink>
    </w:p>
    <w:p w:rsidR="00ED7223" w:rsidRPr="007277E0" w:rsidRDefault="00691D99">
      <w:pPr>
        <w:pStyle w:val="Obsah5"/>
        <w:tabs>
          <w:tab w:val="left" w:pos="2306"/>
          <w:tab w:val="right" w:leader="dot" w:pos="9063"/>
        </w:tabs>
        <w:rPr>
          <w:rFonts w:ascii="Calibri" w:hAnsi="Calibri"/>
          <w:noProof/>
          <w:sz w:val="22"/>
          <w:szCs w:val="22"/>
        </w:rPr>
      </w:pPr>
      <w:hyperlink w:anchor="_Toc385875206" w:history="1">
        <w:r w:rsidR="00ED7223" w:rsidRPr="00956800">
          <w:rPr>
            <w:rStyle w:val="Hypertextovodkaz"/>
            <w:noProof/>
          </w:rPr>
          <w:t>Kapitola 03</w:t>
        </w:r>
        <w:r w:rsidR="00ED7223" w:rsidRPr="007277E0">
          <w:rPr>
            <w:rFonts w:ascii="Calibri" w:hAnsi="Calibri"/>
            <w:noProof/>
            <w:sz w:val="22"/>
            <w:szCs w:val="22"/>
          </w:rPr>
          <w:tab/>
        </w:r>
        <w:r w:rsidR="00ED7223" w:rsidRPr="00956800">
          <w:rPr>
            <w:rStyle w:val="Hypertextovodkaz"/>
            <w:noProof/>
          </w:rPr>
          <w:t>Doprava</w:t>
        </w:r>
        <w:r w:rsidR="00ED7223">
          <w:rPr>
            <w:noProof/>
            <w:webHidden/>
          </w:rPr>
          <w:tab/>
        </w:r>
        <w:r>
          <w:rPr>
            <w:noProof/>
            <w:webHidden/>
          </w:rPr>
          <w:fldChar w:fldCharType="begin"/>
        </w:r>
        <w:r w:rsidR="00ED7223">
          <w:rPr>
            <w:noProof/>
            <w:webHidden/>
          </w:rPr>
          <w:instrText xml:space="preserve"> PAGEREF _Toc385875206 \h </w:instrText>
        </w:r>
        <w:r>
          <w:rPr>
            <w:noProof/>
            <w:webHidden/>
          </w:rPr>
        </w:r>
        <w:r>
          <w:rPr>
            <w:noProof/>
            <w:webHidden/>
          </w:rPr>
          <w:fldChar w:fldCharType="separate"/>
        </w:r>
        <w:r w:rsidR="00160C91">
          <w:rPr>
            <w:noProof/>
            <w:webHidden/>
          </w:rPr>
          <w:t>10</w:t>
        </w:r>
        <w:r>
          <w:rPr>
            <w:noProof/>
            <w:webHidden/>
          </w:rPr>
          <w:fldChar w:fldCharType="end"/>
        </w:r>
      </w:hyperlink>
    </w:p>
    <w:p w:rsidR="00ED7223" w:rsidRPr="007277E0" w:rsidRDefault="00691D99">
      <w:pPr>
        <w:pStyle w:val="Obsah5"/>
        <w:tabs>
          <w:tab w:val="left" w:pos="2306"/>
          <w:tab w:val="right" w:leader="dot" w:pos="9063"/>
        </w:tabs>
        <w:rPr>
          <w:rFonts w:ascii="Calibri" w:hAnsi="Calibri"/>
          <w:noProof/>
          <w:sz w:val="22"/>
          <w:szCs w:val="22"/>
        </w:rPr>
      </w:pPr>
      <w:hyperlink w:anchor="_Toc385875207" w:history="1">
        <w:r w:rsidR="00ED7223" w:rsidRPr="00956800">
          <w:rPr>
            <w:rStyle w:val="Hypertextovodkaz"/>
            <w:noProof/>
          </w:rPr>
          <w:t>Kapitola 04</w:t>
        </w:r>
        <w:r w:rsidR="00ED7223" w:rsidRPr="007277E0">
          <w:rPr>
            <w:rFonts w:ascii="Calibri" w:hAnsi="Calibri"/>
            <w:noProof/>
            <w:sz w:val="22"/>
            <w:szCs w:val="22"/>
          </w:rPr>
          <w:tab/>
        </w:r>
        <w:r w:rsidR="00ED7223" w:rsidRPr="00956800">
          <w:rPr>
            <w:rStyle w:val="Hypertextovodkaz"/>
            <w:noProof/>
          </w:rPr>
          <w:t>Školství</w:t>
        </w:r>
        <w:r w:rsidR="00ED7223">
          <w:rPr>
            <w:noProof/>
            <w:webHidden/>
          </w:rPr>
          <w:tab/>
        </w:r>
        <w:r>
          <w:rPr>
            <w:noProof/>
            <w:webHidden/>
          </w:rPr>
          <w:fldChar w:fldCharType="begin"/>
        </w:r>
        <w:r w:rsidR="00ED7223">
          <w:rPr>
            <w:noProof/>
            <w:webHidden/>
          </w:rPr>
          <w:instrText xml:space="preserve"> PAGEREF _Toc385875207 \h </w:instrText>
        </w:r>
        <w:r>
          <w:rPr>
            <w:noProof/>
            <w:webHidden/>
          </w:rPr>
        </w:r>
        <w:r>
          <w:rPr>
            <w:noProof/>
            <w:webHidden/>
          </w:rPr>
          <w:fldChar w:fldCharType="separate"/>
        </w:r>
        <w:r w:rsidR="00160C91">
          <w:rPr>
            <w:noProof/>
            <w:webHidden/>
          </w:rPr>
          <w:t>10</w:t>
        </w:r>
        <w:r>
          <w:rPr>
            <w:noProof/>
            <w:webHidden/>
          </w:rPr>
          <w:fldChar w:fldCharType="end"/>
        </w:r>
      </w:hyperlink>
    </w:p>
    <w:p w:rsidR="00ED7223" w:rsidRPr="007277E0" w:rsidRDefault="00691D99">
      <w:pPr>
        <w:pStyle w:val="Obsah5"/>
        <w:tabs>
          <w:tab w:val="left" w:pos="2306"/>
          <w:tab w:val="right" w:leader="dot" w:pos="9063"/>
        </w:tabs>
        <w:rPr>
          <w:rFonts w:ascii="Calibri" w:hAnsi="Calibri"/>
          <w:noProof/>
          <w:sz w:val="22"/>
          <w:szCs w:val="22"/>
        </w:rPr>
      </w:pPr>
      <w:hyperlink w:anchor="_Toc385875208" w:history="1">
        <w:r w:rsidR="00ED7223" w:rsidRPr="00956800">
          <w:rPr>
            <w:rStyle w:val="Hypertextovodkaz"/>
            <w:noProof/>
          </w:rPr>
          <w:t>Kapitola 05</w:t>
        </w:r>
        <w:r w:rsidR="00ED7223" w:rsidRPr="007277E0">
          <w:rPr>
            <w:rFonts w:ascii="Calibri" w:hAnsi="Calibri"/>
            <w:noProof/>
            <w:sz w:val="22"/>
            <w:szCs w:val="22"/>
          </w:rPr>
          <w:tab/>
        </w:r>
        <w:r w:rsidR="00ED7223" w:rsidRPr="00956800">
          <w:rPr>
            <w:rStyle w:val="Hypertextovodkaz"/>
            <w:noProof/>
          </w:rPr>
          <w:t>Sociální věci a zdravotnictví</w:t>
        </w:r>
        <w:r w:rsidR="00ED7223">
          <w:rPr>
            <w:noProof/>
            <w:webHidden/>
          </w:rPr>
          <w:tab/>
        </w:r>
        <w:r>
          <w:rPr>
            <w:noProof/>
            <w:webHidden/>
          </w:rPr>
          <w:fldChar w:fldCharType="begin"/>
        </w:r>
        <w:r w:rsidR="00ED7223">
          <w:rPr>
            <w:noProof/>
            <w:webHidden/>
          </w:rPr>
          <w:instrText xml:space="preserve"> PAGEREF _Toc385875208 \h </w:instrText>
        </w:r>
        <w:r>
          <w:rPr>
            <w:noProof/>
            <w:webHidden/>
          </w:rPr>
        </w:r>
        <w:r>
          <w:rPr>
            <w:noProof/>
            <w:webHidden/>
          </w:rPr>
          <w:fldChar w:fldCharType="separate"/>
        </w:r>
        <w:r w:rsidR="00160C91">
          <w:rPr>
            <w:noProof/>
            <w:webHidden/>
          </w:rPr>
          <w:t>12</w:t>
        </w:r>
        <w:r>
          <w:rPr>
            <w:noProof/>
            <w:webHidden/>
          </w:rPr>
          <w:fldChar w:fldCharType="end"/>
        </w:r>
      </w:hyperlink>
    </w:p>
    <w:p w:rsidR="00ED7223" w:rsidRPr="007277E0" w:rsidRDefault="00691D99">
      <w:pPr>
        <w:pStyle w:val="Obsah5"/>
        <w:tabs>
          <w:tab w:val="left" w:pos="2306"/>
          <w:tab w:val="right" w:leader="dot" w:pos="9063"/>
        </w:tabs>
        <w:rPr>
          <w:rFonts w:ascii="Calibri" w:hAnsi="Calibri"/>
          <w:noProof/>
          <w:sz w:val="22"/>
          <w:szCs w:val="22"/>
        </w:rPr>
      </w:pPr>
      <w:hyperlink w:anchor="_Toc385875209" w:history="1">
        <w:r w:rsidR="00ED7223" w:rsidRPr="00956800">
          <w:rPr>
            <w:rStyle w:val="Hypertextovodkaz"/>
            <w:noProof/>
          </w:rPr>
          <w:t>Kapitola 06</w:t>
        </w:r>
        <w:r w:rsidR="00ED7223" w:rsidRPr="007277E0">
          <w:rPr>
            <w:rFonts w:ascii="Calibri" w:hAnsi="Calibri"/>
            <w:noProof/>
            <w:sz w:val="22"/>
            <w:szCs w:val="22"/>
          </w:rPr>
          <w:tab/>
        </w:r>
        <w:r w:rsidR="00ED7223" w:rsidRPr="00956800">
          <w:rPr>
            <w:rStyle w:val="Hypertextovodkaz"/>
            <w:noProof/>
          </w:rPr>
          <w:t>Kultura</w:t>
        </w:r>
        <w:r w:rsidR="00ED7223">
          <w:rPr>
            <w:noProof/>
            <w:webHidden/>
          </w:rPr>
          <w:tab/>
        </w:r>
        <w:r>
          <w:rPr>
            <w:noProof/>
            <w:webHidden/>
          </w:rPr>
          <w:fldChar w:fldCharType="begin"/>
        </w:r>
        <w:r w:rsidR="00ED7223">
          <w:rPr>
            <w:noProof/>
            <w:webHidden/>
          </w:rPr>
          <w:instrText xml:space="preserve"> PAGEREF _Toc385875209 \h </w:instrText>
        </w:r>
        <w:r>
          <w:rPr>
            <w:noProof/>
            <w:webHidden/>
          </w:rPr>
        </w:r>
        <w:r>
          <w:rPr>
            <w:noProof/>
            <w:webHidden/>
          </w:rPr>
          <w:fldChar w:fldCharType="separate"/>
        </w:r>
        <w:r w:rsidR="00160C91">
          <w:rPr>
            <w:noProof/>
            <w:webHidden/>
          </w:rPr>
          <w:t>12</w:t>
        </w:r>
        <w:r>
          <w:rPr>
            <w:noProof/>
            <w:webHidden/>
          </w:rPr>
          <w:fldChar w:fldCharType="end"/>
        </w:r>
      </w:hyperlink>
    </w:p>
    <w:p w:rsidR="00ED7223" w:rsidRPr="007277E0" w:rsidRDefault="00691D99">
      <w:pPr>
        <w:pStyle w:val="Obsah5"/>
        <w:tabs>
          <w:tab w:val="left" w:pos="2306"/>
          <w:tab w:val="right" w:leader="dot" w:pos="9063"/>
        </w:tabs>
        <w:rPr>
          <w:rFonts w:ascii="Calibri" w:hAnsi="Calibri"/>
          <w:noProof/>
          <w:sz w:val="22"/>
          <w:szCs w:val="22"/>
        </w:rPr>
      </w:pPr>
      <w:hyperlink w:anchor="_Toc385875210" w:history="1">
        <w:r w:rsidR="00ED7223" w:rsidRPr="00956800">
          <w:rPr>
            <w:rStyle w:val="Hypertextovodkaz"/>
            <w:noProof/>
          </w:rPr>
          <w:t>Kapitola 07</w:t>
        </w:r>
        <w:r w:rsidR="00ED7223" w:rsidRPr="007277E0">
          <w:rPr>
            <w:rFonts w:ascii="Calibri" w:hAnsi="Calibri"/>
            <w:noProof/>
            <w:sz w:val="22"/>
            <w:szCs w:val="22"/>
          </w:rPr>
          <w:tab/>
        </w:r>
        <w:r w:rsidR="00ED7223" w:rsidRPr="00956800">
          <w:rPr>
            <w:rStyle w:val="Hypertextovodkaz"/>
            <w:noProof/>
          </w:rPr>
          <w:t>Bezpečnost a veřejný pořádek</w:t>
        </w:r>
        <w:r w:rsidR="00ED7223">
          <w:rPr>
            <w:noProof/>
            <w:webHidden/>
          </w:rPr>
          <w:tab/>
        </w:r>
        <w:r>
          <w:rPr>
            <w:noProof/>
            <w:webHidden/>
          </w:rPr>
          <w:fldChar w:fldCharType="begin"/>
        </w:r>
        <w:r w:rsidR="00ED7223">
          <w:rPr>
            <w:noProof/>
            <w:webHidden/>
          </w:rPr>
          <w:instrText xml:space="preserve"> PAGEREF _Toc385875210 \h </w:instrText>
        </w:r>
        <w:r>
          <w:rPr>
            <w:noProof/>
            <w:webHidden/>
          </w:rPr>
        </w:r>
        <w:r>
          <w:rPr>
            <w:noProof/>
            <w:webHidden/>
          </w:rPr>
          <w:fldChar w:fldCharType="separate"/>
        </w:r>
        <w:r w:rsidR="00160C91">
          <w:rPr>
            <w:noProof/>
            <w:webHidden/>
          </w:rPr>
          <w:t>13</w:t>
        </w:r>
        <w:r>
          <w:rPr>
            <w:noProof/>
            <w:webHidden/>
          </w:rPr>
          <w:fldChar w:fldCharType="end"/>
        </w:r>
      </w:hyperlink>
    </w:p>
    <w:p w:rsidR="00ED7223" w:rsidRPr="007277E0" w:rsidRDefault="00691D99">
      <w:pPr>
        <w:pStyle w:val="Obsah5"/>
        <w:tabs>
          <w:tab w:val="left" w:pos="2306"/>
          <w:tab w:val="right" w:leader="dot" w:pos="9063"/>
        </w:tabs>
        <w:rPr>
          <w:rFonts w:ascii="Calibri" w:hAnsi="Calibri"/>
          <w:noProof/>
          <w:sz w:val="22"/>
          <w:szCs w:val="22"/>
        </w:rPr>
      </w:pPr>
      <w:hyperlink w:anchor="_Toc385875211" w:history="1">
        <w:r w:rsidR="00ED7223" w:rsidRPr="00956800">
          <w:rPr>
            <w:rStyle w:val="Hypertextovodkaz"/>
            <w:rFonts w:eastAsia="Arial Unicode MS"/>
            <w:noProof/>
          </w:rPr>
          <w:t>Kapitola 08</w:t>
        </w:r>
        <w:r w:rsidR="00ED7223" w:rsidRPr="007277E0">
          <w:rPr>
            <w:rFonts w:ascii="Calibri" w:hAnsi="Calibri"/>
            <w:noProof/>
            <w:sz w:val="22"/>
            <w:szCs w:val="22"/>
          </w:rPr>
          <w:tab/>
        </w:r>
        <w:r w:rsidR="00ED7223" w:rsidRPr="00956800">
          <w:rPr>
            <w:rStyle w:val="Hypertextovodkaz"/>
            <w:rFonts w:eastAsia="Arial Unicode MS"/>
            <w:noProof/>
          </w:rPr>
          <w:t>Bytové hospodářství</w:t>
        </w:r>
        <w:r w:rsidR="00ED7223">
          <w:rPr>
            <w:noProof/>
            <w:webHidden/>
          </w:rPr>
          <w:tab/>
        </w:r>
        <w:r>
          <w:rPr>
            <w:noProof/>
            <w:webHidden/>
          </w:rPr>
          <w:fldChar w:fldCharType="begin"/>
        </w:r>
        <w:r w:rsidR="00ED7223">
          <w:rPr>
            <w:noProof/>
            <w:webHidden/>
          </w:rPr>
          <w:instrText xml:space="preserve"> PAGEREF _Toc385875211 \h </w:instrText>
        </w:r>
        <w:r>
          <w:rPr>
            <w:noProof/>
            <w:webHidden/>
          </w:rPr>
        </w:r>
        <w:r>
          <w:rPr>
            <w:noProof/>
            <w:webHidden/>
          </w:rPr>
          <w:fldChar w:fldCharType="separate"/>
        </w:r>
        <w:r w:rsidR="00160C91">
          <w:rPr>
            <w:noProof/>
            <w:webHidden/>
          </w:rPr>
          <w:t>14</w:t>
        </w:r>
        <w:r>
          <w:rPr>
            <w:noProof/>
            <w:webHidden/>
          </w:rPr>
          <w:fldChar w:fldCharType="end"/>
        </w:r>
      </w:hyperlink>
    </w:p>
    <w:p w:rsidR="00ED7223" w:rsidRPr="007277E0" w:rsidRDefault="00691D99">
      <w:pPr>
        <w:pStyle w:val="Obsah5"/>
        <w:tabs>
          <w:tab w:val="left" w:pos="2306"/>
          <w:tab w:val="right" w:leader="dot" w:pos="9063"/>
        </w:tabs>
        <w:rPr>
          <w:rFonts w:ascii="Calibri" w:hAnsi="Calibri"/>
          <w:noProof/>
          <w:sz w:val="22"/>
          <w:szCs w:val="22"/>
        </w:rPr>
      </w:pPr>
      <w:hyperlink w:anchor="_Toc385875212" w:history="1">
        <w:r w:rsidR="00ED7223" w:rsidRPr="00956800">
          <w:rPr>
            <w:rStyle w:val="Hypertextovodkaz"/>
            <w:noProof/>
          </w:rPr>
          <w:t>Kapitola 09</w:t>
        </w:r>
        <w:r w:rsidR="00ED7223" w:rsidRPr="007277E0">
          <w:rPr>
            <w:rFonts w:ascii="Calibri" w:hAnsi="Calibri"/>
            <w:noProof/>
            <w:sz w:val="22"/>
            <w:szCs w:val="22"/>
          </w:rPr>
          <w:tab/>
        </w:r>
        <w:r w:rsidR="00ED7223" w:rsidRPr="00956800">
          <w:rPr>
            <w:rStyle w:val="Hypertextovodkaz"/>
            <w:noProof/>
          </w:rPr>
          <w:t>Místní správa a zastupitelstva obcí</w:t>
        </w:r>
        <w:r w:rsidR="00ED7223">
          <w:rPr>
            <w:noProof/>
            <w:webHidden/>
          </w:rPr>
          <w:tab/>
        </w:r>
        <w:r>
          <w:rPr>
            <w:noProof/>
            <w:webHidden/>
          </w:rPr>
          <w:fldChar w:fldCharType="begin"/>
        </w:r>
        <w:r w:rsidR="00ED7223">
          <w:rPr>
            <w:noProof/>
            <w:webHidden/>
          </w:rPr>
          <w:instrText xml:space="preserve"> PAGEREF _Toc385875212 \h </w:instrText>
        </w:r>
        <w:r>
          <w:rPr>
            <w:noProof/>
            <w:webHidden/>
          </w:rPr>
        </w:r>
        <w:r>
          <w:rPr>
            <w:noProof/>
            <w:webHidden/>
          </w:rPr>
          <w:fldChar w:fldCharType="separate"/>
        </w:r>
        <w:r w:rsidR="00160C91">
          <w:rPr>
            <w:noProof/>
            <w:webHidden/>
          </w:rPr>
          <w:t>14</w:t>
        </w:r>
        <w:r>
          <w:rPr>
            <w:noProof/>
            <w:webHidden/>
          </w:rPr>
          <w:fldChar w:fldCharType="end"/>
        </w:r>
      </w:hyperlink>
    </w:p>
    <w:p w:rsidR="00ED7223" w:rsidRPr="007277E0" w:rsidRDefault="00691D99">
      <w:pPr>
        <w:pStyle w:val="Obsah5"/>
        <w:tabs>
          <w:tab w:val="left" w:pos="2306"/>
          <w:tab w:val="right" w:leader="dot" w:pos="9063"/>
        </w:tabs>
        <w:rPr>
          <w:rFonts w:ascii="Calibri" w:hAnsi="Calibri"/>
          <w:noProof/>
          <w:sz w:val="22"/>
          <w:szCs w:val="22"/>
        </w:rPr>
      </w:pPr>
      <w:hyperlink w:anchor="_Toc385875213" w:history="1">
        <w:r w:rsidR="00ED7223" w:rsidRPr="00956800">
          <w:rPr>
            <w:rStyle w:val="Hypertextovodkaz"/>
            <w:noProof/>
          </w:rPr>
          <w:t>Kapitola 10</w:t>
        </w:r>
        <w:r w:rsidR="00ED7223" w:rsidRPr="007277E0">
          <w:rPr>
            <w:rFonts w:ascii="Calibri" w:hAnsi="Calibri"/>
            <w:noProof/>
            <w:sz w:val="22"/>
            <w:szCs w:val="22"/>
          </w:rPr>
          <w:tab/>
        </w:r>
        <w:r w:rsidR="00ED7223" w:rsidRPr="00956800">
          <w:rPr>
            <w:rStyle w:val="Hypertextovodkaz"/>
            <w:noProof/>
          </w:rPr>
          <w:t>Ostatní činnosti</w:t>
        </w:r>
        <w:r w:rsidR="00ED7223">
          <w:rPr>
            <w:noProof/>
            <w:webHidden/>
          </w:rPr>
          <w:tab/>
        </w:r>
        <w:r>
          <w:rPr>
            <w:noProof/>
            <w:webHidden/>
          </w:rPr>
          <w:fldChar w:fldCharType="begin"/>
        </w:r>
        <w:r w:rsidR="00ED7223">
          <w:rPr>
            <w:noProof/>
            <w:webHidden/>
          </w:rPr>
          <w:instrText xml:space="preserve"> PAGEREF _Toc385875213 \h </w:instrText>
        </w:r>
        <w:r>
          <w:rPr>
            <w:noProof/>
            <w:webHidden/>
          </w:rPr>
        </w:r>
        <w:r>
          <w:rPr>
            <w:noProof/>
            <w:webHidden/>
          </w:rPr>
          <w:fldChar w:fldCharType="separate"/>
        </w:r>
        <w:r w:rsidR="00160C91">
          <w:rPr>
            <w:noProof/>
            <w:webHidden/>
          </w:rPr>
          <w:t>15</w:t>
        </w:r>
        <w:r>
          <w:rPr>
            <w:noProof/>
            <w:webHidden/>
          </w:rPr>
          <w:fldChar w:fldCharType="end"/>
        </w:r>
      </w:hyperlink>
    </w:p>
    <w:p w:rsidR="00ED7223" w:rsidRPr="007277E0" w:rsidRDefault="00691D99">
      <w:pPr>
        <w:pStyle w:val="Obsah3"/>
        <w:tabs>
          <w:tab w:val="right" w:leader="dot" w:pos="9063"/>
        </w:tabs>
        <w:rPr>
          <w:rFonts w:ascii="Calibri" w:hAnsi="Calibri"/>
          <w:noProof/>
          <w:sz w:val="22"/>
          <w:szCs w:val="22"/>
        </w:rPr>
      </w:pPr>
      <w:hyperlink w:anchor="_Toc385875214" w:history="1">
        <w:r w:rsidR="00ED7223" w:rsidRPr="00956800">
          <w:rPr>
            <w:rStyle w:val="Hypertextovodkaz"/>
            <w:noProof/>
          </w:rPr>
          <w:t>Bilance příjmů a výdajů rozpočtu za rok 2013</w:t>
        </w:r>
        <w:r w:rsidR="00ED7223">
          <w:rPr>
            <w:noProof/>
            <w:webHidden/>
          </w:rPr>
          <w:tab/>
        </w:r>
        <w:r>
          <w:rPr>
            <w:noProof/>
            <w:webHidden/>
          </w:rPr>
          <w:fldChar w:fldCharType="begin"/>
        </w:r>
        <w:r w:rsidR="00ED7223">
          <w:rPr>
            <w:noProof/>
            <w:webHidden/>
          </w:rPr>
          <w:instrText xml:space="preserve"> PAGEREF _Toc385875214 \h </w:instrText>
        </w:r>
        <w:r>
          <w:rPr>
            <w:noProof/>
            <w:webHidden/>
          </w:rPr>
        </w:r>
        <w:r>
          <w:rPr>
            <w:noProof/>
            <w:webHidden/>
          </w:rPr>
          <w:fldChar w:fldCharType="separate"/>
        </w:r>
        <w:r w:rsidR="00160C91">
          <w:rPr>
            <w:noProof/>
            <w:webHidden/>
          </w:rPr>
          <w:t>16</w:t>
        </w:r>
        <w:r>
          <w:rPr>
            <w:noProof/>
            <w:webHidden/>
          </w:rPr>
          <w:fldChar w:fldCharType="end"/>
        </w:r>
      </w:hyperlink>
    </w:p>
    <w:p w:rsidR="00ED7223" w:rsidRPr="007277E0" w:rsidRDefault="00691D99">
      <w:pPr>
        <w:pStyle w:val="Obsah2"/>
        <w:tabs>
          <w:tab w:val="right" w:leader="dot" w:pos="9063"/>
        </w:tabs>
        <w:rPr>
          <w:rFonts w:ascii="Calibri" w:hAnsi="Calibri"/>
          <w:noProof/>
          <w:sz w:val="22"/>
          <w:szCs w:val="22"/>
        </w:rPr>
      </w:pPr>
      <w:hyperlink w:anchor="_Toc385875215" w:history="1">
        <w:r w:rsidR="00ED7223" w:rsidRPr="00956800">
          <w:rPr>
            <w:rStyle w:val="Hypertextovodkaz"/>
            <w:noProof/>
          </w:rPr>
          <w:t>2. Plnění finančního plánu zdaňované činnosti</w:t>
        </w:r>
        <w:r w:rsidR="00ED7223">
          <w:rPr>
            <w:noProof/>
            <w:webHidden/>
          </w:rPr>
          <w:tab/>
        </w:r>
        <w:r>
          <w:rPr>
            <w:noProof/>
            <w:webHidden/>
          </w:rPr>
          <w:fldChar w:fldCharType="begin"/>
        </w:r>
        <w:r w:rsidR="00ED7223">
          <w:rPr>
            <w:noProof/>
            <w:webHidden/>
          </w:rPr>
          <w:instrText xml:space="preserve"> PAGEREF _Toc385875215 \h </w:instrText>
        </w:r>
        <w:r>
          <w:rPr>
            <w:noProof/>
            <w:webHidden/>
          </w:rPr>
        </w:r>
        <w:r>
          <w:rPr>
            <w:noProof/>
            <w:webHidden/>
          </w:rPr>
          <w:fldChar w:fldCharType="separate"/>
        </w:r>
        <w:r w:rsidR="00160C91">
          <w:rPr>
            <w:noProof/>
            <w:webHidden/>
          </w:rPr>
          <w:t>16</w:t>
        </w:r>
        <w:r>
          <w:rPr>
            <w:noProof/>
            <w:webHidden/>
          </w:rPr>
          <w:fldChar w:fldCharType="end"/>
        </w:r>
      </w:hyperlink>
    </w:p>
    <w:p w:rsidR="00ED7223" w:rsidRPr="007277E0" w:rsidRDefault="00691D99">
      <w:pPr>
        <w:pStyle w:val="Obsah3"/>
        <w:tabs>
          <w:tab w:val="right" w:leader="dot" w:pos="9063"/>
        </w:tabs>
        <w:rPr>
          <w:rFonts w:ascii="Calibri" w:hAnsi="Calibri"/>
          <w:noProof/>
          <w:sz w:val="22"/>
          <w:szCs w:val="22"/>
        </w:rPr>
      </w:pPr>
      <w:hyperlink w:anchor="_Toc385875216" w:history="1">
        <w:r w:rsidR="00ED7223" w:rsidRPr="00956800">
          <w:rPr>
            <w:rStyle w:val="Hypertextovodkaz"/>
            <w:noProof/>
          </w:rPr>
          <w:t>Hospodaření správních firem</w:t>
        </w:r>
        <w:r w:rsidR="00ED7223">
          <w:rPr>
            <w:noProof/>
            <w:webHidden/>
          </w:rPr>
          <w:tab/>
        </w:r>
        <w:r>
          <w:rPr>
            <w:noProof/>
            <w:webHidden/>
          </w:rPr>
          <w:fldChar w:fldCharType="begin"/>
        </w:r>
        <w:r w:rsidR="00ED7223">
          <w:rPr>
            <w:noProof/>
            <w:webHidden/>
          </w:rPr>
          <w:instrText xml:space="preserve"> PAGEREF _Toc385875216 \h </w:instrText>
        </w:r>
        <w:r>
          <w:rPr>
            <w:noProof/>
            <w:webHidden/>
          </w:rPr>
        </w:r>
        <w:r>
          <w:rPr>
            <w:noProof/>
            <w:webHidden/>
          </w:rPr>
          <w:fldChar w:fldCharType="separate"/>
        </w:r>
        <w:r w:rsidR="00160C91">
          <w:rPr>
            <w:noProof/>
            <w:webHidden/>
          </w:rPr>
          <w:t>16</w:t>
        </w:r>
        <w:r>
          <w:rPr>
            <w:noProof/>
            <w:webHidden/>
          </w:rPr>
          <w:fldChar w:fldCharType="end"/>
        </w:r>
      </w:hyperlink>
    </w:p>
    <w:p w:rsidR="00ED7223" w:rsidRPr="007277E0" w:rsidRDefault="00691D99">
      <w:pPr>
        <w:pStyle w:val="Obsah3"/>
        <w:tabs>
          <w:tab w:val="right" w:leader="dot" w:pos="9063"/>
        </w:tabs>
        <w:rPr>
          <w:rFonts w:ascii="Calibri" w:hAnsi="Calibri"/>
          <w:noProof/>
          <w:sz w:val="22"/>
          <w:szCs w:val="22"/>
        </w:rPr>
      </w:pPr>
      <w:hyperlink w:anchor="_Toc385875217" w:history="1">
        <w:r w:rsidR="00ED7223" w:rsidRPr="00956800">
          <w:rPr>
            <w:rStyle w:val="Hypertextovodkaz"/>
            <w:noProof/>
          </w:rPr>
          <w:t>Ostatní zdaňovaná činnost</w:t>
        </w:r>
        <w:r w:rsidR="00ED7223">
          <w:rPr>
            <w:noProof/>
            <w:webHidden/>
          </w:rPr>
          <w:tab/>
        </w:r>
        <w:r>
          <w:rPr>
            <w:noProof/>
            <w:webHidden/>
          </w:rPr>
          <w:fldChar w:fldCharType="begin"/>
        </w:r>
        <w:r w:rsidR="00ED7223">
          <w:rPr>
            <w:noProof/>
            <w:webHidden/>
          </w:rPr>
          <w:instrText xml:space="preserve"> PAGEREF _Toc385875217 \h </w:instrText>
        </w:r>
        <w:r>
          <w:rPr>
            <w:noProof/>
            <w:webHidden/>
          </w:rPr>
        </w:r>
        <w:r>
          <w:rPr>
            <w:noProof/>
            <w:webHidden/>
          </w:rPr>
          <w:fldChar w:fldCharType="separate"/>
        </w:r>
        <w:r w:rsidR="00160C91">
          <w:rPr>
            <w:noProof/>
            <w:webHidden/>
          </w:rPr>
          <w:t>18</w:t>
        </w:r>
        <w:r>
          <w:rPr>
            <w:noProof/>
            <w:webHidden/>
          </w:rPr>
          <w:fldChar w:fldCharType="end"/>
        </w:r>
      </w:hyperlink>
    </w:p>
    <w:p w:rsidR="00ED7223" w:rsidRPr="007277E0" w:rsidRDefault="00691D99">
      <w:pPr>
        <w:pStyle w:val="Obsah3"/>
        <w:tabs>
          <w:tab w:val="right" w:leader="dot" w:pos="9063"/>
        </w:tabs>
        <w:rPr>
          <w:rFonts w:ascii="Calibri" w:hAnsi="Calibri"/>
          <w:noProof/>
          <w:sz w:val="22"/>
          <w:szCs w:val="22"/>
        </w:rPr>
      </w:pPr>
      <w:hyperlink w:anchor="_Toc385875218" w:history="1">
        <w:r w:rsidR="00ED7223" w:rsidRPr="00956800">
          <w:rPr>
            <w:rStyle w:val="Hypertextovodkaz"/>
            <w:noProof/>
          </w:rPr>
          <w:t>Výsledky hospodaření zdaňované činnosti</w:t>
        </w:r>
        <w:r w:rsidR="00ED7223">
          <w:rPr>
            <w:noProof/>
            <w:webHidden/>
          </w:rPr>
          <w:tab/>
        </w:r>
        <w:r>
          <w:rPr>
            <w:noProof/>
            <w:webHidden/>
          </w:rPr>
          <w:fldChar w:fldCharType="begin"/>
        </w:r>
        <w:r w:rsidR="00ED7223">
          <w:rPr>
            <w:noProof/>
            <w:webHidden/>
          </w:rPr>
          <w:instrText xml:space="preserve"> PAGEREF _Toc385875218 \h </w:instrText>
        </w:r>
        <w:r>
          <w:rPr>
            <w:noProof/>
            <w:webHidden/>
          </w:rPr>
        </w:r>
        <w:r>
          <w:rPr>
            <w:noProof/>
            <w:webHidden/>
          </w:rPr>
          <w:fldChar w:fldCharType="separate"/>
        </w:r>
        <w:r w:rsidR="00160C91">
          <w:rPr>
            <w:noProof/>
            <w:webHidden/>
          </w:rPr>
          <w:t>18</w:t>
        </w:r>
        <w:r>
          <w:rPr>
            <w:noProof/>
            <w:webHidden/>
          </w:rPr>
          <w:fldChar w:fldCharType="end"/>
        </w:r>
      </w:hyperlink>
    </w:p>
    <w:p w:rsidR="00ED7223" w:rsidRPr="007277E0" w:rsidRDefault="00691D99">
      <w:pPr>
        <w:pStyle w:val="Obsah2"/>
        <w:tabs>
          <w:tab w:val="right" w:leader="dot" w:pos="9063"/>
        </w:tabs>
        <w:rPr>
          <w:rFonts w:ascii="Calibri" w:hAnsi="Calibri"/>
          <w:noProof/>
          <w:sz w:val="22"/>
          <w:szCs w:val="22"/>
        </w:rPr>
      </w:pPr>
      <w:hyperlink w:anchor="_Toc385875219" w:history="1">
        <w:r w:rsidR="00ED7223" w:rsidRPr="00956800">
          <w:rPr>
            <w:rStyle w:val="Hypertextovodkaz"/>
            <w:noProof/>
          </w:rPr>
          <w:t>3. Hospodaření s majetkem</w:t>
        </w:r>
        <w:r w:rsidR="00ED7223">
          <w:rPr>
            <w:noProof/>
            <w:webHidden/>
          </w:rPr>
          <w:tab/>
        </w:r>
        <w:r>
          <w:rPr>
            <w:noProof/>
            <w:webHidden/>
          </w:rPr>
          <w:fldChar w:fldCharType="begin"/>
        </w:r>
        <w:r w:rsidR="00ED7223">
          <w:rPr>
            <w:noProof/>
            <w:webHidden/>
          </w:rPr>
          <w:instrText xml:space="preserve"> PAGEREF _Toc385875219 \h </w:instrText>
        </w:r>
        <w:r>
          <w:rPr>
            <w:noProof/>
            <w:webHidden/>
          </w:rPr>
        </w:r>
        <w:r>
          <w:rPr>
            <w:noProof/>
            <w:webHidden/>
          </w:rPr>
          <w:fldChar w:fldCharType="separate"/>
        </w:r>
        <w:r w:rsidR="00160C91">
          <w:rPr>
            <w:noProof/>
            <w:webHidden/>
          </w:rPr>
          <w:t>19</w:t>
        </w:r>
        <w:r>
          <w:rPr>
            <w:noProof/>
            <w:webHidden/>
          </w:rPr>
          <w:fldChar w:fldCharType="end"/>
        </w:r>
      </w:hyperlink>
    </w:p>
    <w:p w:rsidR="00ED7223" w:rsidRPr="007277E0" w:rsidRDefault="00691D99">
      <w:pPr>
        <w:pStyle w:val="Obsah2"/>
        <w:tabs>
          <w:tab w:val="right" w:leader="dot" w:pos="9063"/>
        </w:tabs>
        <w:rPr>
          <w:rFonts w:ascii="Calibri" w:hAnsi="Calibri"/>
          <w:noProof/>
          <w:sz w:val="22"/>
          <w:szCs w:val="22"/>
        </w:rPr>
      </w:pPr>
      <w:hyperlink w:anchor="_Toc385875220" w:history="1">
        <w:r w:rsidR="00ED7223" w:rsidRPr="00956800">
          <w:rPr>
            <w:rStyle w:val="Hypertextovodkaz"/>
            <w:noProof/>
          </w:rPr>
          <w:t>4. Stav účelových fondů a finančních aktiv</w:t>
        </w:r>
        <w:r w:rsidR="00ED7223">
          <w:rPr>
            <w:noProof/>
            <w:webHidden/>
          </w:rPr>
          <w:tab/>
        </w:r>
        <w:r>
          <w:rPr>
            <w:noProof/>
            <w:webHidden/>
          </w:rPr>
          <w:fldChar w:fldCharType="begin"/>
        </w:r>
        <w:r w:rsidR="00ED7223">
          <w:rPr>
            <w:noProof/>
            <w:webHidden/>
          </w:rPr>
          <w:instrText xml:space="preserve"> PAGEREF _Toc385875220 \h </w:instrText>
        </w:r>
        <w:r>
          <w:rPr>
            <w:noProof/>
            <w:webHidden/>
          </w:rPr>
        </w:r>
        <w:r>
          <w:rPr>
            <w:noProof/>
            <w:webHidden/>
          </w:rPr>
          <w:fldChar w:fldCharType="separate"/>
        </w:r>
        <w:r w:rsidR="00160C91">
          <w:rPr>
            <w:noProof/>
            <w:webHidden/>
          </w:rPr>
          <w:t>20</w:t>
        </w:r>
        <w:r>
          <w:rPr>
            <w:noProof/>
            <w:webHidden/>
          </w:rPr>
          <w:fldChar w:fldCharType="end"/>
        </w:r>
      </w:hyperlink>
    </w:p>
    <w:p w:rsidR="00ED7223" w:rsidRPr="007277E0" w:rsidRDefault="00691D99">
      <w:pPr>
        <w:pStyle w:val="Obsah3"/>
        <w:tabs>
          <w:tab w:val="right" w:leader="dot" w:pos="9063"/>
        </w:tabs>
        <w:rPr>
          <w:rFonts w:ascii="Calibri" w:hAnsi="Calibri"/>
          <w:noProof/>
          <w:sz w:val="22"/>
          <w:szCs w:val="22"/>
        </w:rPr>
      </w:pPr>
      <w:hyperlink w:anchor="_Toc385875221" w:history="1">
        <w:r w:rsidR="00ED7223" w:rsidRPr="00956800">
          <w:rPr>
            <w:rStyle w:val="Hypertextovodkaz"/>
            <w:noProof/>
          </w:rPr>
          <w:t>Fond rezerv a rozvoje</w:t>
        </w:r>
        <w:r w:rsidR="00ED7223">
          <w:rPr>
            <w:noProof/>
            <w:webHidden/>
          </w:rPr>
          <w:tab/>
        </w:r>
        <w:r>
          <w:rPr>
            <w:noProof/>
            <w:webHidden/>
          </w:rPr>
          <w:fldChar w:fldCharType="begin"/>
        </w:r>
        <w:r w:rsidR="00ED7223">
          <w:rPr>
            <w:noProof/>
            <w:webHidden/>
          </w:rPr>
          <w:instrText xml:space="preserve"> PAGEREF _Toc385875221 \h </w:instrText>
        </w:r>
        <w:r>
          <w:rPr>
            <w:noProof/>
            <w:webHidden/>
          </w:rPr>
        </w:r>
        <w:r>
          <w:rPr>
            <w:noProof/>
            <w:webHidden/>
          </w:rPr>
          <w:fldChar w:fldCharType="separate"/>
        </w:r>
        <w:r w:rsidR="00160C91">
          <w:rPr>
            <w:noProof/>
            <w:webHidden/>
          </w:rPr>
          <w:t>20</w:t>
        </w:r>
        <w:r>
          <w:rPr>
            <w:noProof/>
            <w:webHidden/>
          </w:rPr>
          <w:fldChar w:fldCharType="end"/>
        </w:r>
      </w:hyperlink>
    </w:p>
    <w:p w:rsidR="00ED7223" w:rsidRPr="007277E0" w:rsidRDefault="00691D99">
      <w:pPr>
        <w:pStyle w:val="Obsah3"/>
        <w:tabs>
          <w:tab w:val="right" w:leader="dot" w:pos="9063"/>
        </w:tabs>
        <w:rPr>
          <w:rFonts w:ascii="Calibri" w:hAnsi="Calibri"/>
          <w:noProof/>
          <w:sz w:val="22"/>
          <w:szCs w:val="22"/>
        </w:rPr>
      </w:pPr>
      <w:hyperlink w:anchor="_Toc385875222" w:history="1">
        <w:r w:rsidR="00ED7223" w:rsidRPr="00956800">
          <w:rPr>
            <w:rStyle w:val="Hypertextovodkaz"/>
            <w:noProof/>
          </w:rPr>
          <w:t>Fond ekologie</w:t>
        </w:r>
        <w:r w:rsidR="00ED7223">
          <w:rPr>
            <w:noProof/>
            <w:webHidden/>
          </w:rPr>
          <w:tab/>
        </w:r>
        <w:r>
          <w:rPr>
            <w:noProof/>
            <w:webHidden/>
          </w:rPr>
          <w:fldChar w:fldCharType="begin"/>
        </w:r>
        <w:r w:rsidR="00ED7223">
          <w:rPr>
            <w:noProof/>
            <w:webHidden/>
          </w:rPr>
          <w:instrText xml:space="preserve"> PAGEREF _Toc385875222 \h </w:instrText>
        </w:r>
        <w:r>
          <w:rPr>
            <w:noProof/>
            <w:webHidden/>
          </w:rPr>
        </w:r>
        <w:r>
          <w:rPr>
            <w:noProof/>
            <w:webHidden/>
          </w:rPr>
          <w:fldChar w:fldCharType="separate"/>
        </w:r>
        <w:r w:rsidR="00160C91">
          <w:rPr>
            <w:noProof/>
            <w:webHidden/>
          </w:rPr>
          <w:t>21</w:t>
        </w:r>
        <w:r>
          <w:rPr>
            <w:noProof/>
            <w:webHidden/>
          </w:rPr>
          <w:fldChar w:fldCharType="end"/>
        </w:r>
      </w:hyperlink>
    </w:p>
    <w:p w:rsidR="00ED7223" w:rsidRPr="007277E0" w:rsidRDefault="00691D99">
      <w:pPr>
        <w:pStyle w:val="Obsah3"/>
        <w:tabs>
          <w:tab w:val="right" w:leader="dot" w:pos="9063"/>
        </w:tabs>
        <w:rPr>
          <w:rFonts w:ascii="Calibri" w:hAnsi="Calibri"/>
          <w:noProof/>
          <w:sz w:val="22"/>
          <w:szCs w:val="22"/>
        </w:rPr>
      </w:pPr>
      <w:hyperlink w:anchor="_Toc385875223" w:history="1">
        <w:r w:rsidR="00ED7223" w:rsidRPr="00956800">
          <w:rPr>
            <w:rStyle w:val="Hypertextovodkaz"/>
            <w:noProof/>
          </w:rPr>
          <w:t>Sociální fond</w:t>
        </w:r>
        <w:r w:rsidR="00ED7223">
          <w:rPr>
            <w:noProof/>
            <w:webHidden/>
          </w:rPr>
          <w:tab/>
        </w:r>
        <w:r>
          <w:rPr>
            <w:noProof/>
            <w:webHidden/>
          </w:rPr>
          <w:fldChar w:fldCharType="begin"/>
        </w:r>
        <w:r w:rsidR="00ED7223">
          <w:rPr>
            <w:noProof/>
            <w:webHidden/>
          </w:rPr>
          <w:instrText xml:space="preserve"> PAGEREF _Toc385875223 \h </w:instrText>
        </w:r>
        <w:r>
          <w:rPr>
            <w:noProof/>
            <w:webHidden/>
          </w:rPr>
        </w:r>
        <w:r>
          <w:rPr>
            <w:noProof/>
            <w:webHidden/>
          </w:rPr>
          <w:fldChar w:fldCharType="separate"/>
        </w:r>
        <w:r w:rsidR="00160C91">
          <w:rPr>
            <w:noProof/>
            <w:webHidden/>
          </w:rPr>
          <w:t>21</w:t>
        </w:r>
        <w:r>
          <w:rPr>
            <w:noProof/>
            <w:webHidden/>
          </w:rPr>
          <w:fldChar w:fldCharType="end"/>
        </w:r>
      </w:hyperlink>
    </w:p>
    <w:p w:rsidR="00ED7223" w:rsidRPr="007277E0" w:rsidRDefault="00691D99">
      <w:pPr>
        <w:pStyle w:val="Obsah3"/>
        <w:tabs>
          <w:tab w:val="right" w:leader="dot" w:pos="9063"/>
        </w:tabs>
        <w:rPr>
          <w:rFonts w:ascii="Calibri" w:hAnsi="Calibri"/>
          <w:noProof/>
          <w:sz w:val="22"/>
          <w:szCs w:val="22"/>
        </w:rPr>
      </w:pPr>
      <w:hyperlink w:anchor="_Toc385875224" w:history="1">
        <w:r w:rsidR="00ED7223" w:rsidRPr="00956800">
          <w:rPr>
            <w:rStyle w:val="Hypertextovodkaz"/>
            <w:noProof/>
          </w:rPr>
          <w:t>Fond rozvoje bydlení</w:t>
        </w:r>
        <w:r w:rsidR="00ED7223">
          <w:rPr>
            <w:noProof/>
            <w:webHidden/>
          </w:rPr>
          <w:tab/>
        </w:r>
        <w:r>
          <w:rPr>
            <w:noProof/>
            <w:webHidden/>
          </w:rPr>
          <w:fldChar w:fldCharType="begin"/>
        </w:r>
        <w:r w:rsidR="00ED7223">
          <w:rPr>
            <w:noProof/>
            <w:webHidden/>
          </w:rPr>
          <w:instrText xml:space="preserve"> PAGEREF _Toc385875224 \h </w:instrText>
        </w:r>
        <w:r>
          <w:rPr>
            <w:noProof/>
            <w:webHidden/>
          </w:rPr>
        </w:r>
        <w:r>
          <w:rPr>
            <w:noProof/>
            <w:webHidden/>
          </w:rPr>
          <w:fldChar w:fldCharType="separate"/>
        </w:r>
        <w:r w:rsidR="00160C91">
          <w:rPr>
            <w:noProof/>
            <w:webHidden/>
          </w:rPr>
          <w:t>22</w:t>
        </w:r>
        <w:r>
          <w:rPr>
            <w:noProof/>
            <w:webHidden/>
          </w:rPr>
          <w:fldChar w:fldCharType="end"/>
        </w:r>
      </w:hyperlink>
    </w:p>
    <w:p w:rsidR="00ED7223" w:rsidRPr="007277E0" w:rsidRDefault="00691D99">
      <w:pPr>
        <w:pStyle w:val="Obsah3"/>
        <w:tabs>
          <w:tab w:val="right" w:leader="dot" w:pos="9063"/>
        </w:tabs>
        <w:rPr>
          <w:rFonts w:ascii="Calibri" w:hAnsi="Calibri"/>
          <w:noProof/>
          <w:sz w:val="22"/>
          <w:szCs w:val="22"/>
        </w:rPr>
      </w:pPr>
      <w:hyperlink w:anchor="_Toc385875225" w:history="1">
        <w:r w:rsidR="00ED7223" w:rsidRPr="00956800">
          <w:rPr>
            <w:rStyle w:val="Hypertextovodkaz"/>
            <w:noProof/>
          </w:rPr>
          <w:t>Fond „Revitalizace osady Buďánka“</w:t>
        </w:r>
        <w:r w:rsidR="00ED7223">
          <w:rPr>
            <w:noProof/>
            <w:webHidden/>
          </w:rPr>
          <w:tab/>
        </w:r>
        <w:r>
          <w:rPr>
            <w:noProof/>
            <w:webHidden/>
          </w:rPr>
          <w:fldChar w:fldCharType="begin"/>
        </w:r>
        <w:r w:rsidR="00ED7223">
          <w:rPr>
            <w:noProof/>
            <w:webHidden/>
          </w:rPr>
          <w:instrText xml:space="preserve"> PAGEREF _Toc385875225 \h </w:instrText>
        </w:r>
        <w:r>
          <w:rPr>
            <w:noProof/>
            <w:webHidden/>
          </w:rPr>
        </w:r>
        <w:r>
          <w:rPr>
            <w:noProof/>
            <w:webHidden/>
          </w:rPr>
          <w:fldChar w:fldCharType="separate"/>
        </w:r>
        <w:r w:rsidR="00160C91">
          <w:rPr>
            <w:noProof/>
            <w:webHidden/>
          </w:rPr>
          <w:t>22</w:t>
        </w:r>
        <w:r>
          <w:rPr>
            <w:noProof/>
            <w:webHidden/>
          </w:rPr>
          <w:fldChar w:fldCharType="end"/>
        </w:r>
      </w:hyperlink>
    </w:p>
    <w:p w:rsidR="00ED7223" w:rsidRPr="007277E0" w:rsidRDefault="00691D99">
      <w:pPr>
        <w:pStyle w:val="Obsah2"/>
        <w:tabs>
          <w:tab w:val="right" w:leader="dot" w:pos="9063"/>
        </w:tabs>
        <w:rPr>
          <w:rFonts w:ascii="Calibri" w:hAnsi="Calibri"/>
          <w:noProof/>
          <w:sz w:val="22"/>
          <w:szCs w:val="22"/>
        </w:rPr>
      </w:pPr>
      <w:hyperlink w:anchor="_Toc385875226" w:history="1">
        <w:r w:rsidR="00ED7223" w:rsidRPr="00956800">
          <w:rPr>
            <w:rStyle w:val="Hypertextovodkaz"/>
            <w:noProof/>
          </w:rPr>
          <w:t>5. Stav peněžních prostředků na bankovních účtech</w:t>
        </w:r>
        <w:r w:rsidR="00ED7223">
          <w:rPr>
            <w:noProof/>
            <w:webHidden/>
          </w:rPr>
          <w:tab/>
        </w:r>
        <w:r>
          <w:rPr>
            <w:noProof/>
            <w:webHidden/>
          </w:rPr>
          <w:fldChar w:fldCharType="begin"/>
        </w:r>
        <w:r w:rsidR="00ED7223">
          <w:rPr>
            <w:noProof/>
            <w:webHidden/>
          </w:rPr>
          <w:instrText xml:space="preserve"> PAGEREF _Toc385875226 \h </w:instrText>
        </w:r>
        <w:r>
          <w:rPr>
            <w:noProof/>
            <w:webHidden/>
          </w:rPr>
        </w:r>
        <w:r>
          <w:rPr>
            <w:noProof/>
            <w:webHidden/>
          </w:rPr>
          <w:fldChar w:fldCharType="separate"/>
        </w:r>
        <w:r w:rsidR="00160C91">
          <w:rPr>
            <w:noProof/>
            <w:webHidden/>
          </w:rPr>
          <w:t>23</w:t>
        </w:r>
        <w:r>
          <w:rPr>
            <w:noProof/>
            <w:webHidden/>
          </w:rPr>
          <w:fldChar w:fldCharType="end"/>
        </w:r>
      </w:hyperlink>
    </w:p>
    <w:p w:rsidR="00ED7223" w:rsidRPr="007277E0" w:rsidRDefault="00691D99">
      <w:pPr>
        <w:pStyle w:val="Obsah2"/>
        <w:tabs>
          <w:tab w:val="right" w:leader="dot" w:pos="9063"/>
        </w:tabs>
        <w:rPr>
          <w:rFonts w:ascii="Calibri" w:hAnsi="Calibri"/>
          <w:noProof/>
          <w:sz w:val="22"/>
          <w:szCs w:val="22"/>
        </w:rPr>
      </w:pPr>
      <w:hyperlink w:anchor="_Toc385875227" w:history="1">
        <w:r w:rsidR="00ED7223" w:rsidRPr="00956800">
          <w:rPr>
            <w:rStyle w:val="Hypertextovodkaz"/>
            <w:noProof/>
          </w:rPr>
          <w:t>6. Hospodaření příspěvkových organizací zřízených městskou částí</w:t>
        </w:r>
        <w:r w:rsidR="00ED7223">
          <w:rPr>
            <w:noProof/>
            <w:webHidden/>
          </w:rPr>
          <w:tab/>
        </w:r>
        <w:r>
          <w:rPr>
            <w:noProof/>
            <w:webHidden/>
          </w:rPr>
          <w:fldChar w:fldCharType="begin"/>
        </w:r>
        <w:r w:rsidR="00ED7223">
          <w:rPr>
            <w:noProof/>
            <w:webHidden/>
          </w:rPr>
          <w:instrText xml:space="preserve"> PAGEREF _Toc385875227 \h </w:instrText>
        </w:r>
        <w:r>
          <w:rPr>
            <w:noProof/>
            <w:webHidden/>
          </w:rPr>
        </w:r>
        <w:r>
          <w:rPr>
            <w:noProof/>
            <w:webHidden/>
          </w:rPr>
          <w:fldChar w:fldCharType="separate"/>
        </w:r>
        <w:r w:rsidR="00160C91">
          <w:rPr>
            <w:noProof/>
            <w:webHidden/>
          </w:rPr>
          <w:t>23</w:t>
        </w:r>
        <w:r>
          <w:rPr>
            <w:noProof/>
            <w:webHidden/>
          </w:rPr>
          <w:fldChar w:fldCharType="end"/>
        </w:r>
      </w:hyperlink>
    </w:p>
    <w:p w:rsidR="00ED7223" w:rsidRPr="007277E0" w:rsidRDefault="00691D99">
      <w:pPr>
        <w:pStyle w:val="Obsah3"/>
        <w:tabs>
          <w:tab w:val="right" w:leader="dot" w:pos="9063"/>
        </w:tabs>
        <w:rPr>
          <w:rFonts w:ascii="Calibri" w:hAnsi="Calibri"/>
          <w:noProof/>
          <w:sz w:val="22"/>
          <w:szCs w:val="22"/>
        </w:rPr>
      </w:pPr>
      <w:hyperlink w:anchor="_Toc385875228" w:history="1">
        <w:r w:rsidR="00ED7223" w:rsidRPr="00956800">
          <w:rPr>
            <w:rStyle w:val="Hypertextovodkaz"/>
            <w:noProof/>
          </w:rPr>
          <w:t>Výsledky hospodaření</w:t>
        </w:r>
        <w:r w:rsidR="00ED7223">
          <w:rPr>
            <w:noProof/>
            <w:webHidden/>
          </w:rPr>
          <w:tab/>
        </w:r>
        <w:r>
          <w:rPr>
            <w:noProof/>
            <w:webHidden/>
          </w:rPr>
          <w:fldChar w:fldCharType="begin"/>
        </w:r>
        <w:r w:rsidR="00ED7223">
          <w:rPr>
            <w:noProof/>
            <w:webHidden/>
          </w:rPr>
          <w:instrText xml:space="preserve"> PAGEREF _Toc385875228 \h </w:instrText>
        </w:r>
        <w:r>
          <w:rPr>
            <w:noProof/>
            <w:webHidden/>
          </w:rPr>
        </w:r>
        <w:r>
          <w:rPr>
            <w:noProof/>
            <w:webHidden/>
          </w:rPr>
          <w:fldChar w:fldCharType="separate"/>
        </w:r>
        <w:r w:rsidR="00160C91">
          <w:rPr>
            <w:noProof/>
            <w:webHidden/>
          </w:rPr>
          <w:t>23</w:t>
        </w:r>
        <w:r>
          <w:rPr>
            <w:noProof/>
            <w:webHidden/>
          </w:rPr>
          <w:fldChar w:fldCharType="end"/>
        </w:r>
      </w:hyperlink>
    </w:p>
    <w:p w:rsidR="00ED7223" w:rsidRPr="007277E0" w:rsidRDefault="00691D99">
      <w:pPr>
        <w:pStyle w:val="Obsah3"/>
        <w:tabs>
          <w:tab w:val="right" w:leader="dot" w:pos="9063"/>
        </w:tabs>
        <w:rPr>
          <w:rFonts w:ascii="Calibri" w:hAnsi="Calibri"/>
          <w:noProof/>
          <w:sz w:val="22"/>
          <w:szCs w:val="22"/>
        </w:rPr>
      </w:pPr>
      <w:hyperlink w:anchor="_Toc385875229" w:history="1">
        <w:r w:rsidR="00ED7223" w:rsidRPr="00956800">
          <w:rPr>
            <w:rStyle w:val="Hypertextovodkaz"/>
            <w:noProof/>
          </w:rPr>
          <w:t>Stav majetku k 31. 12. 2013</w:t>
        </w:r>
        <w:r w:rsidR="00ED7223">
          <w:rPr>
            <w:noProof/>
            <w:webHidden/>
          </w:rPr>
          <w:tab/>
        </w:r>
        <w:r>
          <w:rPr>
            <w:noProof/>
            <w:webHidden/>
          </w:rPr>
          <w:fldChar w:fldCharType="begin"/>
        </w:r>
        <w:r w:rsidR="00ED7223">
          <w:rPr>
            <w:noProof/>
            <w:webHidden/>
          </w:rPr>
          <w:instrText xml:space="preserve"> PAGEREF _Toc385875229 \h </w:instrText>
        </w:r>
        <w:r>
          <w:rPr>
            <w:noProof/>
            <w:webHidden/>
          </w:rPr>
        </w:r>
        <w:r>
          <w:rPr>
            <w:noProof/>
            <w:webHidden/>
          </w:rPr>
          <w:fldChar w:fldCharType="separate"/>
        </w:r>
        <w:r w:rsidR="00160C91">
          <w:rPr>
            <w:noProof/>
            <w:webHidden/>
          </w:rPr>
          <w:t>23</w:t>
        </w:r>
        <w:r>
          <w:rPr>
            <w:noProof/>
            <w:webHidden/>
          </w:rPr>
          <w:fldChar w:fldCharType="end"/>
        </w:r>
      </w:hyperlink>
    </w:p>
    <w:p w:rsidR="00ED7223" w:rsidRPr="007277E0" w:rsidRDefault="00691D99">
      <w:pPr>
        <w:pStyle w:val="Obsah2"/>
        <w:tabs>
          <w:tab w:val="right" w:leader="dot" w:pos="9063"/>
        </w:tabs>
        <w:rPr>
          <w:rFonts w:ascii="Calibri" w:hAnsi="Calibri"/>
          <w:noProof/>
          <w:sz w:val="22"/>
          <w:szCs w:val="22"/>
        </w:rPr>
      </w:pPr>
      <w:hyperlink w:anchor="_Toc385875230" w:history="1">
        <w:r w:rsidR="00ED7223" w:rsidRPr="00956800">
          <w:rPr>
            <w:rStyle w:val="Hypertextovodkaz"/>
            <w:noProof/>
          </w:rPr>
          <w:t>7. Hospodaření ostatních organizací založených městskou částí</w:t>
        </w:r>
        <w:r w:rsidR="00ED7223">
          <w:rPr>
            <w:noProof/>
            <w:webHidden/>
          </w:rPr>
          <w:tab/>
        </w:r>
        <w:r>
          <w:rPr>
            <w:noProof/>
            <w:webHidden/>
          </w:rPr>
          <w:fldChar w:fldCharType="begin"/>
        </w:r>
        <w:r w:rsidR="00ED7223">
          <w:rPr>
            <w:noProof/>
            <w:webHidden/>
          </w:rPr>
          <w:instrText xml:space="preserve"> PAGEREF _Toc385875230 \h </w:instrText>
        </w:r>
        <w:r>
          <w:rPr>
            <w:noProof/>
            <w:webHidden/>
          </w:rPr>
        </w:r>
        <w:r>
          <w:rPr>
            <w:noProof/>
            <w:webHidden/>
          </w:rPr>
          <w:fldChar w:fldCharType="separate"/>
        </w:r>
        <w:r w:rsidR="00160C91">
          <w:rPr>
            <w:noProof/>
            <w:webHidden/>
          </w:rPr>
          <w:t>24</w:t>
        </w:r>
        <w:r>
          <w:rPr>
            <w:noProof/>
            <w:webHidden/>
          </w:rPr>
          <w:fldChar w:fldCharType="end"/>
        </w:r>
      </w:hyperlink>
    </w:p>
    <w:p w:rsidR="00ED7223" w:rsidRPr="007277E0" w:rsidRDefault="00691D99">
      <w:pPr>
        <w:pStyle w:val="Obsah3"/>
        <w:tabs>
          <w:tab w:val="right" w:leader="dot" w:pos="9063"/>
        </w:tabs>
        <w:rPr>
          <w:rFonts w:ascii="Calibri" w:hAnsi="Calibri"/>
          <w:noProof/>
          <w:sz w:val="22"/>
          <w:szCs w:val="22"/>
        </w:rPr>
      </w:pPr>
      <w:hyperlink w:anchor="_Toc385875231" w:history="1">
        <w:r w:rsidR="00ED7223" w:rsidRPr="00956800">
          <w:rPr>
            <w:rStyle w:val="Hypertextovodkaz"/>
            <w:noProof/>
          </w:rPr>
          <w:t>Informační centrum Praha 5, obecně prospěšná společnost</w:t>
        </w:r>
        <w:r w:rsidR="00ED7223">
          <w:rPr>
            <w:noProof/>
            <w:webHidden/>
          </w:rPr>
          <w:tab/>
        </w:r>
        <w:r>
          <w:rPr>
            <w:noProof/>
            <w:webHidden/>
          </w:rPr>
          <w:fldChar w:fldCharType="begin"/>
        </w:r>
        <w:r w:rsidR="00ED7223">
          <w:rPr>
            <w:noProof/>
            <w:webHidden/>
          </w:rPr>
          <w:instrText xml:space="preserve"> PAGEREF _Toc385875231 \h </w:instrText>
        </w:r>
        <w:r>
          <w:rPr>
            <w:noProof/>
            <w:webHidden/>
          </w:rPr>
        </w:r>
        <w:r>
          <w:rPr>
            <w:noProof/>
            <w:webHidden/>
          </w:rPr>
          <w:fldChar w:fldCharType="separate"/>
        </w:r>
        <w:r w:rsidR="00160C91">
          <w:rPr>
            <w:noProof/>
            <w:webHidden/>
          </w:rPr>
          <w:t>24</w:t>
        </w:r>
        <w:r>
          <w:rPr>
            <w:noProof/>
            <w:webHidden/>
          </w:rPr>
          <w:fldChar w:fldCharType="end"/>
        </w:r>
      </w:hyperlink>
    </w:p>
    <w:p w:rsidR="00ED7223" w:rsidRPr="007277E0" w:rsidRDefault="00691D99">
      <w:pPr>
        <w:pStyle w:val="Obsah3"/>
        <w:tabs>
          <w:tab w:val="right" w:leader="dot" w:pos="9063"/>
        </w:tabs>
        <w:rPr>
          <w:rFonts w:ascii="Calibri" w:hAnsi="Calibri"/>
          <w:noProof/>
          <w:sz w:val="22"/>
          <w:szCs w:val="22"/>
        </w:rPr>
      </w:pPr>
      <w:hyperlink w:anchor="_Toc385875232" w:history="1">
        <w:r w:rsidR="00ED7223" w:rsidRPr="00956800">
          <w:rPr>
            <w:rStyle w:val="Hypertextovodkaz"/>
            <w:noProof/>
          </w:rPr>
          <w:t>Nadační fond Pragae Quinta Regione</w:t>
        </w:r>
        <w:r w:rsidR="00ED7223">
          <w:rPr>
            <w:noProof/>
            <w:webHidden/>
          </w:rPr>
          <w:tab/>
        </w:r>
        <w:r>
          <w:rPr>
            <w:noProof/>
            <w:webHidden/>
          </w:rPr>
          <w:fldChar w:fldCharType="begin"/>
        </w:r>
        <w:r w:rsidR="00ED7223">
          <w:rPr>
            <w:noProof/>
            <w:webHidden/>
          </w:rPr>
          <w:instrText xml:space="preserve"> PAGEREF _Toc385875232 \h </w:instrText>
        </w:r>
        <w:r>
          <w:rPr>
            <w:noProof/>
            <w:webHidden/>
          </w:rPr>
        </w:r>
        <w:r>
          <w:rPr>
            <w:noProof/>
            <w:webHidden/>
          </w:rPr>
          <w:fldChar w:fldCharType="separate"/>
        </w:r>
        <w:r w:rsidR="00160C91">
          <w:rPr>
            <w:noProof/>
            <w:webHidden/>
          </w:rPr>
          <w:t>25</w:t>
        </w:r>
        <w:r>
          <w:rPr>
            <w:noProof/>
            <w:webHidden/>
          </w:rPr>
          <w:fldChar w:fldCharType="end"/>
        </w:r>
      </w:hyperlink>
    </w:p>
    <w:p w:rsidR="00ED7223" w:rsidRPr="007277E0" w:rsidRDefault="00691D99">
      <w:pPr>
        <w:pStyle w:val="Obsah2"/>
        <w:tabs>
          <w:tab w:val="right" w:leader="dot" w:pos="9063"/>
        </w:tabs>
        <w:rPr>
          <w:rFonts w:ascii="Calibri" w:hAnsi="Calibri"/>
          <w:noProof/>
          <w:sz w:val="22"/>
          <w:szCs w:val="22"/>
        </w:rPr>
      </w:pPr>
      <w:hyperlink w:anchor="_Toc385875233" w:history="1">
        <w:r w:rsidR="00ED7223" w:rsidRPr="00956800">
          <w:rPr>
            <w:rStyle w:val="Hypertextovodkaz"/>
            <w:noProof/>
          </w:rPr>
          <w:t>8. Vyúčtování finančních vztahů</w:t>
        </w:r>
        <w:r w:rsidR="00ED7223">
          <w:rPr>
            <w:noProof/>
            <w:webHidden/>
          </w:rPr>
          <w:tab/>
        </w:r>
        <w:r>
          <w:rPr>
            <w:noProof/>
            <w:webHidden/>
          </w:rPr>
          <w:fldChar w:fldCharType="begin"/>
        </w:r>
        <w:r w:rsidR="00ED7223">
          <w:rPr>
            <w:noProof/>
            <w:webHidden/>
          </w:rPr>
          <w:instrText xml:space="preserve"> PAGEREF _Toc385875233 \h </w:instrText>
        </w:r>
        <w:r>
          <w:rPr>
            <w:noProof/>
            <w:webHidden/>
          </w:rPr>
        </w:r>
        <w:r>
          <w:rPr>
            <w:noProof/>
            <w:webHidden/>
          </w:rPr>
          <w:fldChar w:fldCharType="separate"/>
        </w:r>
        <w:r w:rsidR="00160C91">
          <w:rPr>
            <w:noProof/>
            <w:webHidden/>
          </w:rPr>
          <w:t>25</w:t>
        </w:r>
        <w:r>
          <w:rPr>
            <w:noProof/>
            <w:webHidden/>
          </w:rPr>
          <w:fldChar w:fldCharType="end"/>
        </w:r>
      </w:hyperlink>
    </w:p>
    <w:p w:rsidR="00ED7223" w:rsidRPr="007277E0" w:rsidRDefault="00691D99">
      <w:pPr>
        <w:pStyle w:val="Obsah3"/>
        <w:tabs>
          <w:tab w:val="right" w:leader="dot" w:pos="9063"/>
        </w:tabs>
        <w:rPr>
          <w:rFonts w:ascii="Calibri" w:hAnsi="Calibri"/>
          <w:noProof/>
          <w:sz w:val="22"/>
          <w:szCs w:val="22"/>
        </w:rPr>
      </w:pPr>
      <w:hyperlink w:anchor="_Toc385875234" w:history="1">
        <w:r w:rsidR="00ED7223" w:rsidRPr="00956800">
          <w:rPr>
            <w:rStyle w:val="Hypertextovodkaz"/>
            <w:noProof/>
          </w:rPr>
          <w:t>Vyúčtování finančních vztahů ke státnímu rozpočtu a rozpočtu hl. m. Prahy</w:t>
        </w:r>
        <w:r w:rsidR="00ED7223">
          <w:rPr>
            <w:noProof/>
            <w:webHidden/>
          </w:rPr>
          <w:tab/>
        </w:r>
        <w:r>
          <w:rPr>
            <w:noProof/>
            <w:webHidden/>
          </w:rPr>
          <w:fldChar w:fldCharType="begin"/>
        </w:r>
        <w:r w:rsidR="00ED7223">
          <w:rPr>
            <w:noProof/>
            <w:webHidden/>
          </w:rPr>
          <w:instrText xml:space="preserve"> PAGEREF _Toc385875234 \h </w:instrText>
        </w:r>
        <w:r>
          <w:rPr>
            <w:noProof/>
            <w:webHidden/>
          </w:rPr>
        </w:r>
        <w:r>
          <w:rPr>
            <w:noProof/>
            <w:webHidden/>
          </w:rPr>
          <w:fldChar w:fldCharType="separate"/>
        </w:r>
        <w:r w:rsidR="00160C91">
          <w:rPr>
            <w:noProof/>
            <w:webHidden/>
          </w:rPr>
          <w:t>25</w:t>
        </w:r>
        <w:r>
          <w:rPr>
            <w:noProof/>
            <w:webHidden/>
          </w:rPr>
          <w:fldChar w:fldCharType="end"/>
        </w:r>
      </w:hyperlink>
    </w:p>
    <w:p w:rsidR="00ED7223" w:rsidRPr="007277E0" w:rsidRDefault="00691D99">
      <w:pPr>
        <w:pStyle w:val="Obsah3"/>
        <w:tabs>
          <w:tab w:val="right" w:leader="dot" w:pos="9063"/>
        </w:tabs>
        <w:rPr>
          <w:rFonts w:ascii="Calibri" w:hAnsi="Calibri"/>
          <w:noProof/>
          <w:sz w:val="22"/>
          <w:szCs w:val="22"/>
        </w:rPr>
      </w:pPr>
      <w:hyperlink w:anchor="_Toc385875235" w:history="1">
        <w:r w:rsidR="00ED7223" w:rsidRPr="00956800">
          <w:rPr>
            <w:rStyle w:val="Hypertextovodkaz"/>
            <w:noProof/>
          </w:rPr>
          <w:t>Odvody do rozpočtu městské části od organizací</w:t>
        </w:r>
        <w:r w:rsidR="00ED7223">
          <w:rPr>
            <w:noProof/>
            <w:webHidden/>
          </w:rPr>
          <w:tab/>
        </w:r>
        <w:r>
          <w:rPr>
            <w:noProof/>
            <w:webHidden/>
          </w:rPr>
          <w:fldChar w:fldCharType="begin"/>
        </w:r>
        <w:r w:rsidR="00ED7223">
          <w:rPr>
            <w:noProof/>
            <w:webHidden/>
          </w:rPr>
          <w:instrText xml:space="preserve"> PAGEREF _Toc385875235 \h </w:instrText>
        </w:r>
        <w:r>
          <w:rPr>
            <w:noProof/>
            <w:webHidden/>
          </w:rPr>
        </w:r>
        <w:r>
          <w:rPr>
            <w:noProof/>
            <w:webHidden/>
          </w:rPr>
          <w:fldChar w:fldCharType="separate"/>
        </w:r>
        <w:r w:rsidR="00160C91">
          <w:rPr>
            <w:noProof/>
            <w:webHidden/>
          </w:rPr>
          <w:t>26</w:t>
        </w:r>
        <w:r>
          <w:rPr>
            <w:noProof/>
            <w:webHidden/>
          </w:rPr>
          <w:fldChar w:fldCharType="end"/>
        </w:r>
      </w:hyperlink>
    </w:p>
    <w:p w:rsidR="00ED7223" w:rsidRPr="007277E0" w:rsidRDefault="00691D99">
      <w:pPr>
        <w:pStyle w:val="Obsah3"/>
        <w:tabs>
          <w:tab w:val="right" w:leader="dot" w:pos="9063"/>
        </w:tabs>
        <w:rPr>
          <w:rFonts w:ascii="Calibri" w:hAnsi="Calibri"/>
          <w:noProof/>
          <w:sz w:val="22"/>
          <w:szCs w:val="22"/>
        </w:rPr>
      </w:pPr>
      <w:hyperlink w:anchor="_Toc385875236" w:history="1">
        <w:r w:rsidR="00ED7223" w:rsidRPr="00956800">
          <w:rPr>
            <w:rStyle w:val="Hypertextovodkaz"/>
            <w:noProof/>
          </w:rPr>
          <w:t>Ostatní odvody, převody a vypořádání</w:t>
        </w:r>
        <w:r w:rsidR="00ED7223">
          <w:rPr>
            <w:noProof/>
            <w:webHidden/>
          </w:rPr>
          <w:tab/>
        </w:r>
        <w:r>
          <w:rPr>
            <w:noProof/>
            <w:webHidden/>
          </w:rPr>
          <w:fldChar w:fldCharType="begin"/>
        </w:r>
        <w:r w:rsidR="00ED7223">
          <w:rPr>
            <w:noProof/>
            <w:webHidden/>
          </w:rPr>
          <w:instrText xml:space="preserve"> PAGEREF _Toc385875236 \h </w:instrText>
        </w:r>
        <w:r>
          <w:rPr>
            <w:noProof/>
            <w:webHidden/>
          </w:rPr>
        </w:r>
        <w:r>
          <w:rPr>
            <w:noProof/>
            <w:webHidden/>
          </w:rPr>
          <w:fldChar w:fldCharType="separate"/>
        </w:r>
        <w:r w:rsidR="00160C91">
          <w:rPr>
            <w:noProof/>
            <w:webHidden/>
          </w:rPr>
          <w:t>27</w:t>
        </w:r>
        <w:r>
          <w:rPr>
            <w:noProof/>
            <w:webHidden/>
          </w:rPr>
          <w:fldChar w:fldCharType="end"/>
        </w:r>
      </w:hyperlink>
    </w:p>
    <w:p w:rsidR="00ED7223" w:rsidRPr="007277E0" w:rsidRDefault="00691D99">
      <w:pPr>
        <w:pStyle w:val="Obsah3"/>
        <w:tabs>
          <w:tab w:val="right" w:leader="dot" w:pos="9063"/>
        </w:tabs>
        <w:rPr>
          <w:rFonts w:ascii="Calibri" w:hAnsi="Calibri"/>
          <w:noProof/>
          <w:sz w:val="22"/>
          <w:szCs w:val="22"/>
        </w:rPr>
      </w:pPr>
      <w:hyperlink w:anchor="_Toc385875237" w:history="1">
        <w:r w:rsidR="00ED7223" w:rsidRPr="00956800">
          <w:rPr>
            <w:rStyle w:val="Hypertextovodkaz"/>
            <w:noProof/>
          </w:rPr>
          <w:t>Rekapitulace vyúčtování finančních vztahů a výsledku hospodaření</w:t>
        </w:r>
        <w:r w:rsidR="00ED7223">
          <w:rPr>
            <w:noProof/>
            <w:webHidden/>
          </w:rPr>
          <w:tab/>
        </w:r>
        <w:r>
          <w:rPr>
            <w:noProof/>
            <w:webHidden/>
          </w:rPr>
          <w:fldChar w:fldCharType="begin"/>
        </w:r>
        <w:r w:rsidR="00ED7223">
          <w:rPr>
            <w:noProof/>
            <w:webHidden/>
          </w:rPr>
          <w:instrText xml:space="preserve"> PAGEREF _Toc385875237 \h </w:instrText>
        </w:r>
        <w:r>
          <w:rPr>
            <w:noProof/>
            <w:webHidden/>
          </w:rPr>
        </w:r>
        <w:r>
          <w:rPr>
            <w:noProof/>
            <w:webHidden/>
          </w:rPr>
          <w:fldChar w:fldCharType="separate"/>
        </w:r>
        <w:r w:rsidR="00160C91">
          <w:rPr>
            <w:noProof/>
            <w:webHidden/>
          </w:rPr>
          <w:t>27</w:t>
        </w:r>
        <w:r>
          <w:rPr>
            <w:noProof/>
            <w:webHidden/>
          </w:rPr>
          <w:fldChar w:fldCharType="end"/>
        </w:r>
      </w:hyperlink>
    </w:p>
    <w:p w:rsidR="00ED7223" w:rsidRPr="007277E0" w:rsidRDefault="00691D99">
      <w:pPr>
        <w:pStyle w:val="Obsah2"/>
        <w:tabs>
          <w:tab w:val="right" w:leader="dot" w:pos="9063"/>
        </w:tabs>
        <w:rPr>
          <w:rFonts w:ascii="Calibri" w:hAnsi="Calibri"/>
          <w:noProof/>
          <w:sz w:val="22"/>
          <w:szCs w:val="22"/>
        </w:rPr>
      </w:pPr>
      <w:hyperlink w:anchor="_Toc385875238" w:history="1">
        <w:r w:rsidR="00ED7223" w:rsidRPr="00956800">
          <w:rPr>
            <w:rStyle w:val="Hypertextovodkaz"/>
            <w:noProof/>
          </w:rPr>
          <w:t>9. Zpráva o výsledcích přezkoumání hospodaření</w:t>
        </w:r>
        <w:r w:rsidR="00ED7223">
          <w:rPr>
            <w:noProof/>
            <w:webHidden/>
          </w:rPr>
          <w:tab/>
        </w:r>
        <w:r>
          <w:rPr>
            <w:noProof/>
            <w:webHidden/>
          </w:rPr>
          <w:fldChar w:fldCharType="begin"/>
        </w:r>
        <w:r w:rsidR="00ED7223">
          <w:rPr>
            <w:noProof/>
            <w:webHidden/>
          </w:rPr>
          <w:instrText xml:space="preserve"> PAGEREF _Toc385875238 \h </w:instrText>
        </w:r>
        <w:r>
          <w:rPr>
            <w:noProof/>
            <w:webHidden/>
          </w:rPr>
        </w:r>
        <w:r>
          <w:rPr>
            <w:noProof/>
            <w:webHidden/>
          </w:rPr>
          <w:fldChar w:fldCharType="separate"/>
        </w:r>
        <w:r w:rsidR="00160C91">
          <w:rPr>
            <w:noProof/>
            <w:webHidden/>
          </w:rPr>
          <w:t>27</w:t>
        </w:r>
        <w:r>
          <w:rPr>
            <w:noProof/>
            <w:webHidden/>
          </w:rPr>
          <w:fldChar w:fldCharType="end"/>
        </w:r>
      </w:hyperlink>
    </w:p>
    <w:p w:rsidR="005E6CCF" w:rsidRPr="00F20418" w:rsidRDefault="00691D99">
      <w:pPr>
        <w:pStyle w:val="Zkladntext2"/>
        <w:rPr>
          <w:b w:val="0"/>
          <w:sz w:val="22"/>
          <w:szCs w:val="22"/>
        </w:rPr>
      </w:pPr>
      <w:r w:rsidRPr="00F20418">
        <w:rPr>
          <w:b w:val="0"/>
          <w:sz w:val="22"/>
          <w:szCs w:val="22"/>
        </w:rPr>
        <w:fldChar w:fldCharType="end"/>
      </w:r>
    </w:p>
    <w:p w:rsidR="00761038" w:rsidRPr="003652F7" w:rsidRDefault="00761038">
      <w:pPr>
        <w:pStyle w:val="Zkladntext2"/>
        <w:rPr>
          <w:b w:val="0"/>
        </w:rPr>
      </w:pPr>
      <w:r w:rsidRPr="003652F7">
        <w:t>Přílohy:</w:t>
      </w:r>
    </w:p>
    <w:p w:rsidR="005D3B79" w:rsidRPr="003652F7" w:rsidRDefault="005D4EF4">
      <w:pPr>
        <w:pStyle w:val="Zkladntext2"/>
        <w:rPr>
          <w:b w:val="0"/>
          <w:bCs/>
        </w:rPr>
      </w:pPr>
      <w:r w:rsidRPr="003652F7">
        <w:rPr>
          <w:b w:val="0"/>
          <w:bCs/>
        </w:rPr>
        <w:t>č. 1</w:t>
      </w:r>
      <w:r w:rsidRPr="003652F7">
        <w:rPr>
          <w:b w:val="0"/>
          <w:bCs/>
        </w:rPr>
        <w:tab/>
      </w:r>
      <w:r w:rsidR="005D3B79" w:rsidRPr="003652F7">
        <w:rPr>
          <w:b w:val="0"/>
          <w:bCs/>
        </w:rPr>
        <w:t>Výsledky hospodaření MČ za rok 201</w:t>
      </w:r>
      <w:r w:rsidR="00FD17DB" w:rsidRPr="003652F7">
        <w:rPr>
          <w:b w:val="0"/>
          <w:bCs/>
        </w:rPr>
        <w:t>3</w:t>
      </w:r>
      <w:r w:rsidR="005D3B79" w:rsidRPr="003652F7">
        <w:rPr>
          <w:b w:val="0"/>
          <w:bCs/>
        </w:rPr>
        <w:t xml:space="preserve"> </w:t>
      </w:r>
      <w:r w:rsidR="000E4366" w:rsidRPr="003652F7">
        <w:rPr>
          <w:b w:val="0"/>
          <w:bCs/>
        </w:rPr>
        <w:t>v</w:t>
      </w:r>
      <w:r w:rsidR="005D3B79" w:rsidRPr="003652F7">
        <w:rPr>
          <w:b w:val="0"/>
          <w:bCs/>
        </w:rPr>
        <w:t xml:space="preserve"> </w:t>
      </w:r>
      <w:r w:rsidR="000E4366" w:rsidRPr="003652F7">
        <w:rPr>
          <w:b w:val="0"/>
          <w:bCs/>
        </w:rPr>
        <w:t xml:space="preserve">hlavní činnosti – </w:t>
      </w:r>
      <w:r w:rsidR="005D3B79" w:rsidRPr="003652F7">
        <w:rPr>
          <w:b w:val="0"/>
          <w:bCs/>
        </w:rPr>
        <w:t>příjmy</w:t>
      </w:r>
    </w:p>
    <w:p w:rsidR="00595629" w:rsidRPr="003652F7" w:rsidRDefault="00595629" w:rsidP="00595629">
      <w:pPr>
        <w:pStyle w:val="Zkladntext2"/>
        <w:ind w:left="705" w:hanging="705"/>
        <w:rPr>
          <w:b w:val="0"/>
        </w:rPr>
      </w:pPr>
      <w:r w:rsidRPr="003652F7">
        <w:rPr>
          <w:b w:val="0"/>
          <w:bCs/>
        </w:rPr>
        <w:lastRenderedPageBreak/>
        <w:t>č. 2</w:t>
      </w:r>
      <w:r w:rsidRPr="003652F7">
        <w:rPr>
          <w:b w:val="0"/>
        </w:rPr>
        <w:t xml:space="preserve"> </w:t>
      </w:r>
      <w:r w:rsidRPr="003652F7">
        <w:rPr>
          <w:b w:val="0"/>
        </w:rPr>
        <w:tab/>
      </w:r>
      <w:r w:rsidR="00301497" w:rsidRPr="003652F7">
        <w:rPr>
          <w:b w:val="0"/>
          <w:bCs/>
        </w:rPr>
        <w:t>Výsledky hospodaření MČ za rok 2013 –</w:t>
      </w:r>
      <w:r w:rsidR="00301497">
        <w:rPr>
          <w:b w:val="0"/>
          <w:bCs/>
        </w:rPr>
        <w:t xml:space="preserve"> p</w:t>
      </w:r>
      <w:r w:rsidRPr="003652F7">
        <w:rPr>
          <w:b w:val="0"/>
        </w:rPr>
        <w:t>řehled účelových dotací ze státního ro</w:t>
      </w:r>
      <w:r w:rsidRPr="003652F7">
        <w:rPr>
          <w:b w:val="0"/>
        </w:rPr>
        <w:t>z</w:t>
      </w:r>
      <w:r w:rsidRPr="003652F7">
        <w:rPr>
          <w:b w:val="0"/>
        </w:rPr>
        <w:t>počtu</w:t>
      </w:r>
      <w:r w:rsidR="006C5512" w:rsidRPr="003652F7">
        <w:rPr>
          <w:b w:val="0"/>
        </w:rPr>
        <w:t xml:space="preserve"> a </w:t>
      </w:r>
      <w:r w:rsidRPr="003652F7">
        <w:rPr>
          <w:b w:val="0"/>
        </w:rPr>
        <w:t>rozpočtu hl. m. Prahy za rok 2013</w:t>
      </w:r>
      <w:r w:rsidR="00301497">
        <w:rPr>
          <w:b w:val="0"/>
        </w:rPr>
        <w:t xml:space="preserve"> a jejich čerpání do 31. 12. 2013</w:t>
      </w:r>
    </w:p>
    <w:p w:rsidR="000E4366" w:rsidRPr="003652F7" w:rsidRDefault="005D3B79" w:rsidP="005D3B79">
      <w:pPr>
        <w:pStyle w:val="Zkladntext2"/>
        <w:rPr>
          <w:b w:val="0"/>
          <w:bCs/>
        </w:rPr>
      </w:pPr>
      <w:r w:rsidRPr="003652F7">
        <w:rPr>
          <w:b w:val="0"/>
          <w:bCs/>
        </w:rPr>
        <w:t xml:space="preserve">č. </w:t>
      </w:r>
      <w:r w:rsidR="00595629" w:rsidRPr="003652F7">
        <w:rPr>
          <w:b w:val="0"/>
          <w:bCs/>
        </w:rPr>
        <w:t>3</w:t>
      </w:r>
      <w:r w:rsidRPr="003652F7">
        <w:rPr>
          <w:b w:val="0"/>
          <w:bCs/>
        </w:rPr>
        <w:tab/>
        <w:t>Výsledky hospodaření MČ za rok 201</w:t>
      </w:r>
      <w:r w:rsidR="00FD17DB" w:rsidRPr="003652F7">
        <w:rPr>
          <w:b w:val="0"/>
          <w:bCs/>
        </w:rPr>
        <w:t>3</w:t>
      </w:r>
      <w:r w:rsidRPr="003652F7">
        <w:rPr>
          <w:b w:val="0"/>
          <w:bCs/>
        </w:rPr>
        <w:t xml:space="preserve"> </w:t>
      </w:r>
      <w:r w:rsidR="000E4366" w:rsidRPr="003652F7">
        <w:rPr>
          <w:b w:val="0"/>
          <w:bCs/>
        </w:rPr>
        <w:t>v</w:t>
      </w:r>
      <w:r w:rsidRPr="003652F7">
        <w:rPr>
          <w:b w:val="0"/>
          <w:bCs/>
        </w:rPr>
        <w:t xml:space="preserve"> </w:t>
      </w:r>
      <w:proofErr w:type="gramStart"/>
      <w:r w:rsidR="000E4366" w:rsidRPr="003652F7">
        <w:rPr>
          <w:b w:val="0"/>
          <w:bCs/>
        </w:rPr>
        <w:t>hlavní</w:t>
      </w:r>
      <w:proofErr w:type="gramEnd"/>
      <w:r w:rsidR="000E4366" w:rsidRPr="003652F7">
        <w:rPr>
          <w:b w:val="0"/>
          <w:bCs/>
        </w:rPr>
        <w:t xml:space="preserve"> činnost  </w:t>
      </w:r>
      <w:r w:rsidRPr="003652F7">
        <w:rPr>
          <w:b w:val="0"/>
          <w:bCs/>
        </w:rPr>
        <w:t>výdaje</w:t>
      </w:r>
      <w:r w:rsidR="005A4C4A" w:rsidRPr="003652F7">
        <w:rPr>
          <w:b w:val="0"/>
          <w:bCs/>
        </w:rPr>
        <w:t xml:space="preserve"> celkem</w:t>
      </w:r>
    </w:p>
    <w:p w:rsidR="000E4366" w:rsidRPr="003652F7" w:rsidRDefault="00B63490" w:rsidP="00B63490">
      <w:pPr>
        <w:pStyle w:val="Zkladntext2"/>
        <w:ind w:left="705" w:hanging="705"/>
        <w:rPr>
          <w:b w:val="0"/>
          <w:bCs/>
        </w:rPr>
      </w:pPr>
      <w:r w:rsidRPr="003652F7">
        <w:rPr>
          <w:b w:val="0"/>
          <w:bCs/>
        </w:rPr>
        <w:t xml:space="preserve">č. </w:t>
      </w:r>
      <w:r w:rsidR="00595629" w:rsidRPr="003652F7">
        <w:rPr>
          <w:b w:val="0"/>
          <w:bCs/>
        </w:rPr>
        <w:t>4</w:t>
      </w:r>
      <w:r w:rsidRPr="003652F7">
        <w:rPr>
          <w:b w:val="0"/>
          <w:bCs/>
        </w:rPr>
        <w:tab/>
      </w:r>
      <w:r w:rsidR="000E4366" w:rsidRPr="003652F7">
        <w:rPr>
          <w:b w:val="0"/>
          <w:bCs/>
        </w:rPr>
        <w:t>Výsledky hospodaření MČ za rok 2013 v hlavní činnosti – přehled investičních výdajů</w:t>
      </w:r>
    </w:p>
    <w:p w:rsidR="005A4C4A" w:rsidRPr="003652F7" w:rsidRDefault="00BF127C" w:rsidP="000E4366">
      <w:pPr>
        <w:pStyle w:val="Zkladntext2"/>
        <w:ind w:left="705" w:hanging="705"/>
        <w:rPr>
          <w:b w:val="0"/>
          <w:bCs/>
        </w:rPr>
      </w:pPr>
      <w:r w:rsidRPr="003652F7">
        <w:rPr>
          <w:b w:val="0"/>
          <w:bCs/>
        </w:rPr>
        <w:t xml:space="preserve">č. </w:t>
      </w:r>
      <w:r w:rsidR="00595629" w:rsidRPr="003652F7">
        <w:rPr>
          <w:b w:val="0"/>
          <w:bCs/>
        </w:rPr>
        <w:t>5</w:t>
      </w:r>
      <w:r w:rsidRPr="003652F7">
        <w:rPr>
          <w:b w:val="0"/>
          <w:bCs/>
        </w:rPr>
        <w:t xml:space="preserve"> </w:t>
      </w:r>
      <w:r w:rsidRPr="003652F7">
        <w:rPr>
          <w:b w:val="0"/>
          <w:bCs/>
        </w:rPr>
        <w:tab/>
      </w:r>
      <w:r w:rsidR="000E4366" w:rsidRPr="003652F7">
        <w:rPr>
          <w:b w:val="0"/>
          <w:bCs/>
        </w:rPr>
        <w:t xml:space="preserve">Výsledky hospodaření MČ za rok 2013 ve zdaňované činnosti celkem </w:t>
      </w:r>
    </w:p>
    <w:p w:rsidR="000E4366" w:rsidRPr="003652F7" w:rsidRDefault="00BF127C" w:rsidP="000E4366">
      <w:pPr>
        <w:pStyle w:val="Zkladntext2"/>
        <w:ind w:left="705" w:hanging="705"/>
        <w:rPr>
          <w:b w:val="0"/>
          <w:bCs/>
        </w:rPr>
      </w:pPr>
      <w:r w:rsidRPr="003652F7">
        <w:rPr>
          <w:b w:val="0"/>
          <w:bCs/>
        </w:rPr>
        <w:t xml:space="preserve">č. </w:t>
      </w:r>
      <w:r w:rsidR="00595629" w:rsidRPr="003652F7">
        <w:rPr>
          <w:b w:val="0"/>
          <w:bCs/>
        </w:rPr>
        <w:t>6</w:t>
      </w:r>
      <w:r w:rsidRPr="003652F7">
        <w:rPr>
          <w:b w:val="0"/>
          <w:bCs/>
        </w:rPr>
        <w:t xml:space="preserve"> </w:t>
      </w:r>
      <w:r w:rsidRPr="003652F7">
        <w:rPr>
          <w:b w:val="0"/>
          <w:bCs/>
        </w:rPr>
        <w:tab/>
      </w:r>
      <w:r w:rsidR="000E4366" w:rsidRPr="003652F7">
        <w:rPr>
          <w:b w:val="0"/>
          <w:bCs/>
        </w:rPr>
        <w:t>Výsledky hospodaření MČ za rok 2013</w:t>
      </w:r>
      <w:r w:rsidR="005A4C4A" w:rsidRPr="003652F7">
        <w:rPr>
          <w:b w:val="0"/>
          <w:bCs/>
        </w:rPr>
        <w:t xml:space="preserve"> ve zdaňované činnosti – správní firmy</w:t>
      </w:r>
    </w:p>
    <w:p w:rsidR="000E4366" w:rsidRPr="003652F7" w:rsidRDefault="00FC2922" w:rsidP="00B63490">
      <w:pPr>
        <w:pStyle w:val="Zkladntext2"/>
        <w:ind w:left="705" w:hanging="705"/>
        <w:rPr>
          <w:b w:val="0"/>
          <w:bCs/>
        </w:rPr>
      </w:pPr>
      <w:r w:rsidRPr="003652F7">
        <w:rPr>
          <w:b w:val="0"/>
          <w:bCs/>
        </w:rPr>
        <w:t xml:space="preserve">č. </w:t>
      </w:r>
      <w:r w:rsidR="00595629" w:rsidRPr="003652F7">
        <w:rPr>
          <w:b w:val="0"/>
          <w:bCs/>
        </w:rPr>
        <w:t>7</w:t>
      </w:r>
      <w:r w:rsidRPr="003652F7">
        <w:rPr>
          <w:b w:val="0"/>
          <w:bCs/>
        </w:rPr>
        <w:t xml:space="preserve"> </w:t>
      </w:r>
      <w:r w:rsidRPr="003652F7">
        <w:rPr>
          <w:b w:val="0"/>
          <w:bCs/>
        </w:rPr>
        <w:tab/>
      </w:r>
      <w:r w:rsidR="000E4366" w:rsidRPr="003652F7">
        <w:rPr>
          <w:b w:val="0"/>
          <w:bCs/>
        </w:rPr>
        <w:t xml:space="preserve">Výsledky hospodaření MČ za rok 2013 </w:t>
      </w:r>
      <w:r w:rsidR="005A4C4A" w:rsidRPr="003652F7">
        <w:rPr>
          <w:b w:val="0"/>
          <w:bCs/>
        </w:rPr>
        <w:t xml:space="preserve">ve zdaňované činnosti – </w:t>
      </w:r>
      <w:r w:rsidR="000E4366" w:rsidRPr="003652F7">
        <w:rPr>
          <w:b w:val="0"/>
          <w:bCs/>
        </w:rPr>
        <w:t>ostatní zdaňovaná činnost</w:t>
      </w:r>
    </w:p>
    <w:p w:rsidR="003C0286" w:rsidRPr="003652F7" w:rsidRDefault="00B63490" w:rsidP="00B63490">
      <w:pPr>
        <w:pStyle w:val="Zkladntext2"/>
        <w:ind w:left="705" w:hanging="705"/>
        <w:rPr>
          <w:b w:val="0"/>
        </w:rPr>
      </w:pPr>
      <w:r w:rsidRPr="003652F7">
        <w:rPr>
          <w:b w:val="0"/>
        </w:rPr>
        <w:t xml:space="preserve">č. </w:t>
      </w:r>
      <w:r w:rsidR="00595629" w:rsidRPr="003652F7">
        <w:rPr>
          <w:b w:val="0"/>
        </w:rPr>
        <w:t>8</w:t>
      </w:r>
      <w:r w:rsidRPr="003652F7">
        <w:rPr>
          <w:b w:val="0"/>
        </w:rPr>
        <w:t xml:space="preserve"> </w:t>
      </w:r>
      <w:r w:rsidRPr="003652F7">
        <w:rPr>
          <w:b w:val="0"/>
        </w:rPr>
        <w:tab/>
      </w:r>
      <w:r w:rsidR="003C0286" w:rsidRPr="003652F7">
        <w:rPr>
          <w:b w:val="0"/>
          <w:bCs/>
        </w:rPr>
        <w:t>Výsledky hospodaření MČ za rok 2013 – příspěvkové organizace</w:t>
      </w:r>
    </w:p>
    <w:p w:rsidR="003C0286" w:rsidRPr="003652F7" w:rsidRDefault="00FC2922" w:rsidP="003C0286">
      <w:pPr>
        <w:pStyle w:val="Zkladntext2"/>
        <w:ind w:left="705" w:hanging="705"/>
        <w:rPr>
          <w:b w:val="0"/>
        </w:rPr>
      </w:pPr>
      <w:r w:rsidRPr="003652F7">
        <w:rPr>
          <w:b w:val="0"/>
        </w:rPr>
        <w:t xml:space="preserve">č. </w:t>
      </w:r>
      <w:r w:rsidR="00595629" w:rsidRPr="003652F7">
        <w:rPr>
          <w:b w:val="0"/>
        </w:rPr>
        <w:t>9</w:t>
      </w:r>
      <w:r w:rsidRPr="003652F7">
        <w:rPr>
          <w:b w:val="0"/>
        </w:rPr>
        <w:tab/>
      </w:r>
      <w:r w:rsidR="003C0286" w:rsidRPr="003652F7">
        <w:rPr>
          <w:b w:val="0"/>
        </w:rPr>
        <w:t xml:space="preserve">Výsledky hospodaření </w:t>
      </w:r>
      <w:r w:rsidR="003C0286" w:rsidRPr="003652F7">
        <w:rPr>
          <w:b w:val="0"/>
          <w:bCs/>
        </w:rPr>
        <w:t xml:space="preserve">MČ za rok 2013 </w:t>
      </w:r>
      <w:r w:rsidR="00FD0D38" w:rsidRPr="003652F7">
        <w:rPr>
          <w:b w:val="0"/>
          <w:bCs/>
        </w:rPr>
        <w:t>– příspěvkové organizace,</w:t>
      </w:r>
      <w:r w:rsidR="00FD0D38" w:rsidRPr="003652F7">
        <w:rPr>
          <w:b w:val="0"/>
        </w:rPr>
        <w:t xml:space="preserve"> </w:t>
      </w:r>
      <w:r w:rsidR="003C0286" w:rsidRPr="003652F7">
        <w:rPr>
          <w:b w:val="0"/>
        </w:rPr>
        <w:t>příděly do fondů a stanovení odvodů</w:t>
      </w:r>
    </w:p>
    <w:p w:rsidR="00FD0D38" w:rsidRPr="003652F7" w:rsidRDefault="00ED1F49" w:rsidP="00FD0D38">
      <w:pPr>
        <w:pStyle w:val="Zkladntext2"/>
        <w:ind w:left="705" w:hanging="705"/>
        <w:rPr>
          <w:b w:val="0"/>
        </w:rPr>
      </w:pPr>
      <w:bookmarkStart w:id="1" w:name="_Toc224723005"/>
      <w:r w:rsidRPr="003652F7">
        <w:rPr>
          <w:b w:val="0"/>
          <w:bCs/>
        </w:rPr>
        <w:t>č. 1</w:t>
      </w:r>
      <w:r w:rsidR="006915C1" w:rsidRPr="003652F7">
        <w:rPr>
          <w:b w:val="0"/>
          <w:bCs/>
        </w:rPr>
        <w:t>0</w:t>
      </w:r>
      <w:r w:rsidRPr="003652F7">
        <w:rPr>
          <w:b w:val="0"/>
          <w:bCs/>
        </w:rPr>
        <w:tab/>
      </w:r>
      <w:r w:rsidR="00FD0D38" w:rsidRPr="003652F7">
        <w:rPr>
          <w:b w:val="0"/>
        </w:rPr>
        <w:t>Výsledky hospodaření MČ za rok 2013 – odměňování členů zastupitelstva</w:t>
      </w:r>
    </w:p>
    <w:p w:rsidR="00C23816" w:rsidRPr="003652F7" w:rsidRDefault="00FD0D38" w:rsidP="00C23816">
      <w:pPr>
        <w:pStyle w:val="Zkladntext2"/>
        <w:rPr>
          <w:b w:val="0"/>
          <w:bCs/>
        </w:rPr>
      </w:pPr>
      <w:r w:rsidRPr="003652F7">
        <w:rPr>
          <w:b w:val="0"/>
          <w:bCs/>
        </w:rPr>
        <w:t>č. 11</w:t>
      </w:r>
      <w:r w:rsidRPr="003652F7">
        <w:rPr>
          <w:b w:val="0"/>
          <w:bCs/>
        </w:rPr>
        <w:tab/>
      </w:r>
      <w:r w:rsidR="00C23816" w:rsidRPr="003652F7">
        <w:rPr>
          <w:b w:val="0"/>
          <w:bCs/>
        </w:rPr>
        <w:t>Přehled o pohybu dlouhodobého majetku</w:t>
      </w:r>
      <w:r w:rsidR="00ED545E" w:rsidRPr="003652F7">
        <w:rPr>
          <w:b w:val="0"/>
          <w:bCs/>
        </w:rPr>
        <w:t xml:space="preserve"> </w:t>
      </w:r>
      <w:r w:rsidR="00753EB1" w:rsidRPr="003652F7">
        <w:rPr>
          <w:b w:val="0"/>
          <w:bCs/>
        </w:rPr>
        <w:t xml:space="preserve">MČ </w:t>
      </w:r>
      <w:r w:rsidR="008B4B9C" w:rsidRPr="003652F7">
        <w:rPr>
          <w:b w:val="0"/>
          <w:bCs/>
        </w:rPr>
        <w:t>za</w:t>
      </w:r>
      <w:r w:rsidR="00AA76C9" w:rsidRPr="003652F7">
        <w:rPr>
          <w:b w:val="0"/>
          <w:bCs/>
        </w:rPr>
        <w:t xml:space="preserve"> </w:t>
      </w:r>
      <w:r w:rsidR="00ED545E" w:rsidRPr="003652F7">
        <w:rPr>
          <w:b w:val="0"/>
          <w:bCs/>
        </w:rPr>
        <w:t>rok</w:t>
      </w:r>
      <w:r w:rsidR="008B4B9C" w:rsidRPr="003652F7">
        <w:rPr>
          <w:b w:val="0"/>
          <w:bCs/>
        </w:rPr>
        <w:t>y</w:t>
      </w:r>
      <w:r w:rsidR="00ED545E" w:rsidRPr="003652F7">
        <w:rPr>
          <w:b w:val="0"/>
          <w:bCs/>
        </w:rPr>
        <w:t xml:space="preserve"> </w:t>
      </w:r>
      <w:r w:rsidR="00C23CFF" w:rsidRPr="003652F7">
        <w:rPr>
          <w:b w:val="0"/>
          <w:bCs/>
        </w:rPr>
        <w:t>20</w:t>
      </w:r>
      <w:r w:rsidR="00294CE1" w:rsidRPr="003652F7">
        <w:rPr>
          <w:b w:val="0"/>
          <w:bCs/>
        </w:rPr>
        <w:t>1</w:t>
      </w:r>
      <w:r w:rsidR="00DF4622" w:rsidRPr="003652F7">
        <w:rPr>
          <w:b w:val="0"/>
          <w:bCs/>
        </w:rPr>
        <w:t>1</w:t>
      </w:r>
      <w:r w:rsidR="00C23CFF" w:rsidRPr="003652F7">
        <w:rPr>
          <w:b w:val="0"/>
          <w:bCs/>
        </w:rPr>
        <w:t xml:space="preserve"> </w:t>
      </w:r>
      <w:r w:rsidR="005330F9" w:rsidRPr="003652F7">
        <w:rPr>
          <w:b w:val="0"/>
          <w:bCs/>
        </w:rPr>
        <w:t>–</w:t>
      </w:r>
      <w:r w:rsidR="00C23CFF" w:rsidRPr="003652F7">
        <w:rPr>
          <w:b w:val="0"/>
          <w:bCs/>
        </w:rPr>
        <w:t xml:space="preserve"> 201</w:t>
      </w:r>
      <w:r w:rsidR="00DF4622" w:rsidRPr="003652F7">
        <w:rPr>
          <w:b w:val="0"/>
          <w:bCs/>
        </w:rPr>
        <w:t>3</w:t>
      </w:r>
    </w:p>
    <w:p w:rsidR="00D56E5C" w:rsidRPr="003652F7" w:rsidRDefault="00683A8A" w:rsidP="003652F7">
      <w:pPr>
        <w:pStyle w:val="Zkladntext2"/>
        <w:ind w:left="705" w:hanging="705"/>
        <w:rPr>
          <w:b w:val="0"/>
          <w:bCs/>
        </w:rPr>
      </w:pPr>
      <w:r w:rsidRPr="003652F7">
        <w:rPr>
          <w:b w:val="0"/>
          <w:bCs/>
        </w:rPr>
        <w:t xml:space="preserve">č. </w:t>
      </w:r>
      <w:r w:rsidR="00710291" w:rsidRPr="003652F7">
        <w:rPr>
          <w:b w:val="0"/>
          <w:bCs/>
        </w:rPr>
        <w:t>1</w:t>
      </w:r>
      <w:r w:rsidR="00FD0D38" w:rsidRPr="003652F7">
        <w:rPr>
          <w:b w:val="0"/>
          <w:bCs/>
        </w:rPr>
        <w:t>2</w:t>
      </w:r>
      <w:r w:rsidR="00D56E5C" w:rsidRPr="003652F7">
        <w:rPr>
          <w:b w:val="0"/>
          <w:bCs/>
        </w:rPr>
        <w:tab/>
        <w:t xml:space="preserve">Přehled o </w:t>
      </w:r>
      <w:r w:rsidR="00ED545E" w:rsidRPr="003652F7">
        <w:rPr>
          <w:b w:val="0"/>
          <w:bCs/>
        </w:rPr>
        <w:t>pohybu dlouhodobého majetku organizací</w:t>
      </w:r>
      <w:r w:rsidR="00753EB1" w:rsidRPr="003652F7">
        <w:rPr>
          <w:b w:val="0"/>
          <w:bCs/>
        </w:rPr>
        <w:t xml:space="preserve"> zřízených MČ </w:t>
      </w:r>
      <w:r w:rsidR="008B4B9C" w:rsidRPr="003652F7">
        <w:rPr>
          <w:b w:val="0"/>
          <w:bCs/>
        </w:rPr>
        <w:t>za</w:t>
      </w:r>
      <w:r w:rsidR="00753EB1" w:rsidRPr="003652F7">
        <w:rPr>
          <w:b w:val="0"/>
          <w:bCs/>
        </w:rPr>
        <w:t xml:space="preserve"> </w:t>
      </w:r>
      <w:r w:rsidR="00C23CFF" w:rsidRPr="003652F7">
        <w:rPr>
          <w:b w:val="0"/>
          <w:bCs/>
        </w:rPr>
        <w:t>rok</w:t>
      </w:r>
      <w:r w:rsidR="008B4B9C" w:rsidRPr="003652F7">
        <w:rPr>
          <w:b w:val="0"/>
          <w:bCs/>
        </w:rPr>
        <w:t>y</w:t>
      </w:r>
      <w:r w:rsidR="00C23CFF" w:rsidRPr="003652F7">
        <w:rPr>
          <w:b w:val="0"/>
          <w:bCs/>
        </w:rPr>
        <w:t xml:space="preserve"> 20</w:t>
      </w:r>
      <w:r w:rsidR="00294CE1" w:rsidRPr="003652F7">
        <w:rPr>
          <w:b w:val="0"/>
          <w:bCs/>
        </w:rPr>
        <w:t>1</w:t>
      </w:r>
      <w:r w:rsidR="00DF4622" w:rsidRPr="003652F7">
        <w:rPr>
          <w:b w:val="0"/>
          <w:bCs/>
        </w:rPr>
        <w:t>1</w:t>
      </w:r>
      <w:r w:rsidR="008B4B9C" w:rsidRPr="003652F7">
        <w:rPr>
          <w:b w:val="0"/>
          <w:bCs/>
        </w:rPr>
        <w:t xml:space="preserve"> </w:t>
      </w:r>
      <w:r w:rsidR="005330F9" w:rsidRPr="003652F7">
        <w:rPr>
          <w:b w:val="0"/>
          <w:bCs/>
        </w:rPr>
        <w:t>–</w:t>
      </w:r>
      <w:r w:rsidR="00C23CFF" w:rsidRPr="003652F7">
        <w:rPr>
          <w:b w:val="0"/>
          <w:bCs/>
        </w:rPr>
        <w:t xml:space="preserve"> 201</w:t>
      </w:r>
      <w:r w:rsidR="00DF4622" w:rsidRPr="003652F7">
        <w:rPr>
          <w:b w:val="0"/>
          <w:bCs/>
        </w:rPr>
        <w:t>3</w:t>
      </w:r>
    </w:p>
    <w:p w:rsidR="00C23816" w:rsidRPr="003652F7" w:rsidRDefault="00C23816" w:rsidP="00C23816">
      <w:pPr>
        <w:pStyle w:val="Zkladntext2"/>
        <w:rPr>
          <w:b w:val="0"/>
        </w:rPr>
      </w:pPr>
      <w:r w:rsidRPr="003652F7">
        <w:rPr>
          <w:b w:val="0"/>
        </w:rPr>
        <w:t xml:space="preserve">č. </w:t>
      </w:r>
      <w:r w:rsidR="00683A8A" w:rsidRPr="003652F7">
        <w:rPr>
          <w:b w:val="0"/>
        </w:rPr>
        <w:t>1</w:t>
      </w:r>
      <w:r w:rsidR="00FD0D38" w:rsidRPr="003652F7">
        <w:rPr>
          <w:b w:val="0"/>
        </w:rPr>
        <w:t>3</w:t>
      </w:r>
      <w:r w:rsidR="007D117E" w:rsidRPr="003652F7">
        <w:rPr>
          <w:b w:val="0"/>
        </w:rPr>
        <w:tab/>
        <w:t>Vyúčtování finančních vztahů</w:t>
      </w:r>
      <w:r w:rsidR="00640767" w:rsidRPr="003652F7">
        <w:rPr>
          <w:b w:val="0"/>
        </w:rPr>
        <w:t xml:space="preserve"> MČ za rok 201</w:t>
      </w:r>
      <w:r w:rsidR="00DF4622" w:rsidRPr="003652F7">
        <w:rPr>
          <w:b w:val="0"/>
        </w:rPr>
        <w:t>3</w:t>
      </w:r>
    </w:p>
    <w:p w:rsidR="00465553" w:rsidRPr="003652F7" w:rsidRDefault="00C23816" w:rsidP="003652F7">
      <w:pPr>
        <w:pStyle w:val="Zkladntext2"/>
        <w:ind w:left="705" w:hanging="705"/>
      </w:pPr>
      <w:r w:rsidRPr="003652F7">
        <w:rPr>
          <w:b w:val="0"/>
        </w:rPr>
        <w:t xml:space="preserve">č. </w:t>
      </w:r>
      <w:r w:rsidR="00683A8A" w:rsidRPr="003652F7">
        <w:rPr>
          <w:b w:val="0"/>
        </w:rPr>
        <w:t>1</w:t>
      </w:r>
      <w:r w:rsidR="00FD0D38" w:rsidRPr="003652F7">
        <w:rPr>
          <w:b w:val="0"/>
        </w:rPr>
        <w:t>4</w:t>
      </w:r>
      <w:r w:rsidRPr="003652F7">
        <w:rPr>
          <w:b w:val="0"/>
        </w:rPr>
        <w:tab/>
        <w:t>Zpráva o výsled</w:t>
      </w:r>
      <w:r w:rsidR="008B15F8" w:rsidRPr="003652F7">
        <w:rPr>
          <w:b w:val="0"/>
        </w:rPr>
        <w:t>ku přezkoumání hospodaření</w:t>
      </w:r>
      <w:r w:rsidR="00640767" w:rsidRPr="003652F7">
        <w:rPr>
          <w:b w:val="0"/>
        </w:rPr>
        <w:t xml:space="preserve"> za rok 201</w:t>
      </w:r>
      <w:r w:rsidR="00DF4622" w:rsidRPr="003652F7">
        <w:rPr>
          <w:b w:val="0"/>
        </w:rPr>
        <w:t>3</w:t>
      </w:r>
      <w:r w:rsidR="00CB288A" w:rsidRPr="003652F7">
        <w:rPr>
          <w:b w:val="0"/>
        </w:rPr>
        <w:t xml:space="preserve"> a</w:t>
      </w:r>
      <w:r w:rsidR="00E92689" w:rsidRPr="003652F7">
        <w:rPr>
          <w:b w:val="0"/>
        </w:rPr>
        <w:t xml:space="preserve"> </w:t>
      </w:r>
      <w:r w:rsidR="00465553" w:rsidRPr="003652F7">
        <w:rPr>
          <w:b w:val="0"/>
        </w:rPr>
        <w:t>dopis pro vedení městské části</w:t>
      </w:r>
      <w:r w:rsidR="008D76DC" w:rsidRPr="003652F7">
        <w:rPr>
          <w:b w:val="0"/>
        </w:rPr>
        <w:t>.</w:t>
      </w:r>
    </w:p>
    <w:p w:rsidR="00D57FFD" w:rsidRPr="003652F7" w:rsidRDefault="00D57FFD" w:rsidP="0092656F"/>
    <w:p w:rsidR="00761038" w:rsidRPr="003652F7" w:rsidRDefault="0081443B" w:rsidP="00034EF8">
      <w:pPr>
        <w:pStyle w:val="Bezmezer"/>
        <w:rPr>
          <w:b/>
        </w:rPr>
      </w:pPr>
      <w:bookmarkStart w:id="2" w:name="_Toc351978919"/>
      <w:bookmarkStart w:id="3" w:name="_Toc353284288"/>
      <w:bookmarkStart w:id="4" w:name="_Toc353955523"/>
      <w:bookmarkStart w:id="5" w:name="_Toc353955594"/>
      <w:bookmarkStart w:id="6" w:name="_Toc353955723"/>
      <w:r w:rsidRPr="003652F7">
        <w:rPr>
          <w:b/>
        </w:rPr>
        <w:t>Použité zkratky</w:t>
      </w:r>
      <w:bookmarkEnd w:id="2"/>
      <w:bookmarkEnd w:id="3"/>
      <w:bookmarkEnd w:id="4"/>
      <w:bookmarkEnd w:id="5"/>
      <w:bookmarkEnd w:id="6"/>
    </w:p>
    <w:bookmarkEnd w:id="1"/>
    <w:p w:rsidR="0081443B" w:rsidRPr="003652F7" w:rsidRDefault="00034EF8" w:rsidP="0081443B">
      <w:pPr>
        <w:pStyle w:val="Zkladntext2"/>
        <w:ind w:left="705" w:hanging="705"/>
        <w:rPr>
          <w:b w:val="0"/>
          <w:bCs/>
        </w:rPr>
      </w:pPr>
      <w:r w:rsidRPr="003652F7">
        <w:rPr>
          <w:b w:val="0"/>
          <w:bCs/>
        </w:rPr>
        <w:t>MČ</w:t>
      </w:r>
      <w:r w:rsidRPr="003652F7">
        <w:rPr>
          <w:b w:val="0"/>
          <w:bCs/>
        </w:rPr>
        <w:tab/>
      </w:r>
      <w:r w:rsidRPr="003652F7">
        <w:rPr>
          <w:b w:val="0"/>
          <w:bCs/>
        </w:rPr>
        <w:tab/>
      </w:r>
      <w:r w:rsidRPr="003652F7">
        <w:rPr>
          <w:b w:val="0"/>
          <w:bCs/>
        </w:rPr>
        <w:tab/>
        <w:t>Městská část</w:t>
      </w:r>
    </w:p>
    <w:p w:rsidR="0081443B" w:rsidRPr="003652F7" w:rsidRDefault="0081443B" w:rsidP="0081443B">
      <w:pPr>
        <w:pStyle w:val="Zkladntext2"/>
        <w:rPr>
          <w:b w:val="0"/>
          <w:bCs/>
        </w:rPr>
      </w:pPr>
      <w:r w:rsidRPr="003652F7">
        <w:rPr>
          <w:b w:val="0"/>
          <w:bCs/>
        </w:rPr>
        <w:t>ÚMČ</w:t>
      </w:r>
      <w:r w:rsidRPr="003652F7">
        <w:rPr>
          <w:b w:val="0"/>
          <w:bCs/>
        </w:rPr>
        <w:tab/>
      </w:r>
      <w:r w:rsidR="00034EF8" w:rsidRPr="003652F7">
        <w:rPr>
          <w:b w:val="0"/>
          <w:bCs/>
        </w:rPr>
        <w:tab/>
      </w:r>
      <w:r w:rsidRPr="003652F7">
        <w:rPr>
          <w:b w:val="0"/>
          <w:bCs/>
        </w:rPr>
        <w:t>Úřad městské části</w:t>
      </w:r>
    </w:p>
    <w:p w:rsidR="00034EF8" w:rsidRPr="003652F7" w:rsidRDefault="00034EF8" w:rsidP="0081443B">
      <w:pPr>
        <w:pStyle w:val="Zkladntext2"/>
        <w:rPr>
          <w:b w:val="0"/>
          <w:bCs/>
        </w:rPr>
      </w:pPr>
      <w:r w:rsidRPr="003652F7">
        <w:rPr>
          <w:b w:val="0"/>
          <w:bCs/>
        </w:rPr>
        <w:t>HMP</w:t>
      </w:r>
      <w:r w:rsidRPr="003652F7">
        <w:rPr>
          <w:b w:val="0"/>
          <w:bCs/>
        </w:rPr>
        <w:tab/>
      </w:r>
      <w:r w:rsidRPr="003652F7">
        <w:rPr>
          <w:b w:val="0"/>
          <w:bCs/>
        </w:rPr>
        <w:tab/>
        <w:t>hlavní město Praha</w:t>
      </w:r>
    </w:p>
    <w:p w:rsidR="00034EF8" w:rsidRPr="003652F7" w:rsidRDefault="00034EF8" w:rsidP="0081443B">
      <w:pPr>
        <w:pStyle w:val="Zkladntext2"/>
        <w:rPr>
          <w:b w:val="0"/>
          <w:bCs/>
        </w:rPr>
      </w:pPr>
      <w:r w:rsidRPr="003652F7">
        <w:rPr>
          <w:b w:val="0"/>
          <w:bCs/>
        </w:rPr>
        <w:t>MHMP</w:t>
      </w:r>
      <w:r w:rsidRPr="003652F7">
        <w:rPr>
          <w:b w:val="0"/>
          <w:bCs/>
        </w:rPr>
        <w:tab/>
        <w:t>Magistrát hlavního města Prahy</w:t>
      </w:r>
    </w:p>
    <w:p w:rsidR="0081443B" w:rsidRPr="003652F7" w:rsidRDefault="0081443B" w:rsidP="0081443B">
      <w:pPr>
        <w:pStyle w:val="Zkladntext2"/>
        <w:rPr>
          <w:b w:val="0"/>
          <w:bCs/>
        </w:rPr>
      </w:pPr>
      <w:r w:rsidRPr="003652F7">
        <w:rPr>
          <w:b w:val="0"/>
          <w:bCs/>
        </w:rPr>
        <w:t>SR</w:t>
      </w:r>
      <w:r w:rsidRPr="003652F7">
        <w:rPr>
          <w:b w:val="0"/>
          <w:bCs/>
        </w:rPr>
        <w:tab/>
      </w:r>
      <w:r w:rsidR="00034EF8" w:rsidRPr="003652F7">
        <w:rPr>
          <w:b w:val="0"/>
          <w:bCs/>
        </w:rPr>
        <w:tab/>
      </w:r>
      <w:r w:rsidRPr="003652F7">
        <w:rPr>
          <w:b w:val="0"/>
          <w:bCs/>
        </w:rPr>
        <w:t xml:space="preserve">Schválený rozpočet </w:t>
      </w:r>
    </w:p>
    <w:p w:rsidR="00A075AF" w:rsidRPr="003652F7" w:rsidRDefault="0081443B" w:rsidP="0081443B">
      <w:pPr>
        <w:pStyle w:val="Zkladntext2"/>
        <w:rPr>
          <w:b w:val="0"/>
          <w:bCs/>
        </w:rPr>
      </w:pPr>
      <w:r w:rsidRPr="003652F7">
        <w:rPr>
          <w:b w:val="0"/>
          <w:bCs/>
        </w:rPr>
        <w:t>UR</w:t>
      </w:r>
      <w:r w:rsidRPr="003652F7">
        <w:rPr>
          <w:b w:val="0"/>
          <w:bCs/>
        </w:rPr>
        <w:tab/>
      </w:r>
      <w:r w:rsidR="00034EF8" w:rsidRPr="003652F7">
        <w:rPr>
          <w:b w:val="0"/>
          <w:bCs/>
        </w:rPr>
        <w:tab/>
      </w:r>
      <w:r w:rsidRPr="003652F7">
        <w:rPr>
          <w:b w:val="0"/>
          <w:bCs/>
        </w:rPr>
        <w:t>Upravený rozpočet</w:t>
      </w:r>
    </w:p>
    <w:p w:rsidR="00034EF8" w:rsidRPr="003652F7" w:rsidRDefault="00034EF8" w:rsidP="00034EF8">
      <w:pPr>
        <w:jc w:val="both"/>
      </w:pPr>
      <w:r w:rsidRPr="003652F7">
        <w:t>HČ</w:t>
      </w:r>
      <w:r w:rsidRPr="003652F7">
        <w:tab/>
      </w:r>
      <w:r w:rsidRPr="003652F7">
        <w:tab/>
        <w:t>Hlavní činnost</w:t>
      </w:r>
    </w:p>
    <w:p w:rsidR="0081443B" w:rsidRPr="003652F7" w:rsidRDefault="00833ECA" w:rsidP="009F412A">
      <w:pPr>
        <w:jc w:val="both"/>
      </w:pPr>
      <w:r w:rsidRPr="003652F7">
        <w:t>DČ</w:t>
      </w:r>
      <w:r w:rsidRPr="003652F7">
        <w:tab/>
      </w:r>
      <w:r w:rsidR="00034EF8" w:rsidRPr="003652F7">
        <w:tab/>
      </w:r>
      <w:r w:rsidRPr="003652F7">
        <w:t>Doplňková činnost</w:t>
      </w:r>
    </w:p>
    <w:p w:rsidR="000C5679" w:rsidRDefault="00E92689" w:rsidP="009F412A">
      <w:pPr>
        <w:jc w:val="both"/>
        <w:rPr>
          <w:sz w:val="22"/>
          <w:szCs w:val="22"/>
        </w:rPr>
      </w:pPr>
      <w:r>
        <w:rPr>
          <w:sz w:val="22"/>
          <w:szCs w:val="22"/>
        </w:rPr>
        <w:br w:type="page"/>
      </w:r>
      <w:r w:rsidR="00DC72D7" w:rsidRPr="001C7BAA">
        <w:rPr>
          <w:sz w:val="22"/>
          <w:szCs w:val="22"/>
        </w:rPr>
        <w:lastRenderedPageBreak/>
        <w:t xml:space="preserve">Zastupitelstvo Městské části Praha 5 schválilo na zasedání dne </w:t>
      </w:r>
      <w:r w:rsidR="00427709" w:rsidRPr="001C7BAA">
        <w:rPr>
          <w:sz w:val="22"/>
          <w:szCs w:val="22"/>
        </w:rPr>
        <w:t>7.</w:t>
      </w:r>
      <w:r w:rsidR="003652F7">
        <w:rPr>
          <w:sz w:val="22"/>
          <w:szCs w:val="22"/>
        </w:rPr>
        <w:t xml:space="preserve"> </w:t>
      </w:r>
      <w:r w:rsidR="00427709" w:rsidRPr="001C7BAA">
        <w:rPr>
          <w:sz w:val="22"/>
          <w:szCs w:val="22"/>
        </w:rPr>
        <w:t>2.</w:t>
      </w:r>
      <w:r w:rsidR="003652F7">
        <w:rPr>
          <w:sz w:val="22"/>
          <w:szCs w:val="22"/>
        </w:rPr>
        <w:t xml:space="preserve"> </w:t>
      </w:r>
      <w:r w:rsidR="00427709" w:rsidRPr="001C7BAA">
        <w:rPr>
          <w:sz w:val="22"/>
          <w:szCs w:val="22"/>
        </w:rPr>
        <w:t xml:space="preserve">2013 pod číslem usnesení 22/2/2013 </w:t>
      </w:r>
      <w:r w:rsidR="00593A7D" w:rsidRPr="001C7BAA">
        <w:rPr>
          <w:sz w:val="22"/>
          <w:szCs w:val="22"/>
        </w:rPr>
        <w:t>R</w:t>
      </w:r>
      <w:r w:rsidR="0039739F" w:rsidRPr="001C7BAA">
        <w:rPr>
          <w:sz w:val="22"/>
          <w:szCs w:val="22"/>
        </w:rPr>
        <w:t>ozpočet</w:t>
      </w:r>
      <w:r w:rsidR="00812D3D" w:rsidRPr="001C7BAA">
        <w:rPr>
          <w:sz w:val="22"/>
          <w:szCs w:val="22"/>
        </w:rPr>
        <w:t xml:space="preserve"> a </w:t>
      </w:r>
      <w:r w:rsidR="0039739F" w:rsidRPr="001C7BAA">
        <w:rPr>
          <w:sz w:val="22"/>
          <w:szCs w:val="22"/>
        </w:rPr>
        <w:t>finanční plán Městské části Praha 5</w:t>
      </w:r>
      <w:r w:rsidR="0039739F" w:rsidRPr="00E27855">
        <w:rPr>
          <w:sz w:val="22"/>
          <w:szCs w:val="22"/>
        </w:rPr>
        <w:t xml:space="preserve"> (dále jen městská část</w:t>
      </w:r>
      <w:r w:rsidR="001C2566">
        <w:rPr>
          <w:sz w:val="22"/>
          <w:szCs w:val="22"/>
        </w:rPr>
        <w:t>, MČ</w:t>
      </w:r>
      <w:r w:rsidR="0039739F" w:rsidRPr="00E27855">
        <w:rPr>
          <w:sz w:val="22"/>
          <w:szCs w:val="22"/>
        </w:rPr>
        <w:t xml:space="preserve">) </w:t>
      </w:r>
      <w:r w:rsidR="00427709">
        <w:rPr>
          <w:sz w:val="22"/>
          <w:szCs w:val="22"/>
        </w:rPr>
        <w:t>na rok 2013, včetně rozpočtového výhledu na roky 2014 – 2018. Hospodaření městské části se řídilo schváleným dokumentem a hospodaření příspěvkových organizací a ostatních organizací</w:t>
      </w:r>
      <w:r w:rsidR="00B61CB9">
        <w:rPr>
          <w:sz w:val="22"/>
          <w:szCs w:val="22"/>
        </w:rPr>
        <w:t>,</w:t>
      </w:r>
      <w:r w:rsidR="00427709">
        <w:rPr>
          <w:sz w:val="22"/>
          <w:szCs w:val="22"/>
        </w:rPr>
        <w:t xml:space="preserve"> jejichž zřizovatelem je městská část</w:t>
      </w:r>
      <w:r w:rsidR="00B61CB9">
        <w:rPr>
          <w:sz w:val="22"/>
          <w:szCs w:val="22"/>
        </w:rPr>
        <w:t>,</w:t>
      </w:r>
      <w:r w:rsidR="00427709">
        <w:rPr>
          <w:sz w:val="22"/>
          <w:szCs w:val="22"/>
        </w:rPr>
        <w:t xml:space="preserve"> se řídilo závaznými ukazateli</w:t>
      </w:r>
      <w:r w:rsidR="001C2566">
        <w:rPr>
          <w:sz w:val="22"/>
          <w:szCs w:val="22"/>
        </w:rPr>
        <w:t xml:space="preserve"> stanovenými</w:t>
      </w:r>
      <w:r w:rsidR="00F77762">
        <w:rPr>
          <w:sz w:val="22"/>
          <w:szCs w:val="22"/>
        </w:rPr>
        <w:t xml:space="preserve"> pro rok 2013.</w:t>
      </w:r>
    </w:p>
    <w:p w:rsidR="00427709" w:rsidRPr="00F20418" w:rsidRDefault="00427709" w:rsidP="009F412A">
      <w:pPr>
        <w:jc w:val="both"/>
        <w:rPr>
          <w:sz w:val="22"/>
          <w:szCs w:val="22"/>
        </w:rPr>
      </w:pPr>
    </w:p>
    <w:p w:rsidR="000E55F3" w:rsidRDefault="00427709" w:rsidP="00562262">
      <w:pPr>
        <w:jc w:val="both"/>
        <w:rPr>
          <w:sz w:val="22"/>
          <w:szCs w:val="22"/>
        </w:rPr>
      </w:pPr>
      <w:r>
        <w:rPr>
          <w:sz w:val="22"/>
          <w:szCs w:val="22"/>
        </w:rPr>
        <w:t xml:space="preserve">Závěrečný účet městské části za rok 2013 </w:t>
      </w:r>
      <w:r w:rsidR="004E6783">
        <w:rPr>
          <w:sz w:val="22"/>
          <w:szCs w:val="22"/>
        </w:rPr>
        <w:t>je zpracován v</w:t>
      </w:r>
      <w:r w:rsidR="00AA76C9">
        <w:rPr>
          <w:sz w:val="22"/>
          <w:szCs w:val="22"/>
        </w:rPr>
        <w:t xml:space="preserve"> </w:t>
      </w:r>
      <w:r w:rsidR="0039739F">
        <w:rPr>
          <w:sz w:val="22"/>
          <w:szCs w:val="22"/>
        </w:rPr>
        <w:t>souladu s ustanovením § 17 zákona č. 250/2000 Sb. o rozpočtových pravidlech územních rozpočtů, v platném znění</w:t>
      </w:r>
      <w:r w:rsidR="001C2566">
        <w:rPr>
          <w:sz w:val="22"/>
          <w:szCs w:val="22"/>
        </w:rPr>
        <w:t>,</w:t>
      </w:r>
      <w:r w:rsidR="0039739F">
        <w:rPr>
          <w:sz w:val="22"/>
          <w:szCs w:val="22"/>
        </w:rPr>
        <w:t xml:space="preserve"> </w:t>
      </w:r>
      <w:r w:rsidR="004E6783">
        <w:rPr>
          <w:sz w:val="22"/>
          <w:szCs w:val="22"/>
        </w:rPr>
        <w:t>a takto předkládán k</w:t>
      </w:r>
      <w:r w:rsidR="001C2566">
        <w:rPr>
          <w:sz w:val="22"/>
          <w:szCs w:val="22"/>
        </w:rPr>
        <w:t> projednání a</w:t>
      </w:r>
      <w:r w:rsidR="004E6783">
        <w:rPr>
          <w:sz w:val="22"/>
          <w:szCs w:val="22"/>
        </w:rPr>
        <w:t xml:space="preserve"> schválení do orgánů městské části. Závěrečný účet </w:t>
      </w:r>
      <w:r w:rsidR="00AC2C9A">
        <w:rPr>
          <w:sz w:val="22"/>
          <w:szCs w:val="22"/>
        </w:rPr>
        <w:t>podává informace</w:t>
      </w:r>
      <w:r w:rsidR="00AA76C9">
        <w:rPr>
          <w:sz w:val="22"/>
          <w:szCs w:val="22"/>
        </w:rPr>
        <w:t xml:space="preserve"> </w:t>
      </w:r>
      <w:r w:rsidR="004E6783">
        <w:rPr>
          <w:sz w:val="22"/>
          <w:szCs w:val="22"/>
        </w:rPr>
        <w:t xml:space="preserve">o </w:t>
      </w:r>
      <w:r w:rsidR="001C2566">
        <w:rPr>
          <w:sz w:val="22"/>
          <w:szCs w:val="22"/>
        </w:rPr>
        <w:t xml:space="preserve">ročním </w:t>
      </w:r>
      <w:r w:rsidR="004E6783">
        <w:rPr>
          <w:sz w:val="22"/>
          <w:szCs w:val="22"/>
        </w:rPr>
        <w:t>hosp</w:t>
      </w:r>
      <w:r w:rsidR="004E6783">
        <w:rPr>
          <w:sz w:val="22"/>
          <w:szCs w:val="22"/>
        </w:rPr>
        <w:t>o</w:t>
      </w:r>
      <w:r w:rsidR="004E6783">
        <w:rPr>
          <w:sz w:val="22"/>
          <w:szCs w:val="22"/>
        </w:rPr>
        <w:t>daření, obsahuje údaje o</w:t>
      </w:r>
      <w:r w:rsidR="00AA76C9">
        <w:rPr>
          <w:sz w:val="22"/>
          <w:szCs w:val="22"/>
        </w:rPr>
        <w:t xml:space="preserve"> </w:t>
      </w:r>
      <w:r w:rsidR="00C531E9">
        <w:rPr>
          <w:sz w:val="22"/>
          <w:szCs w:val="22"/>
        </w:rPr>
        <w:t>plnění rozpočtu příjmů a výdajů, údaje o hospodaření s majetkem a o dalších finančních operacích, včetně tvorby a použití fondů.</w:t>
      </w:r>
      <w:r w:rsidR="001C2566">
        <w:rPr>
          <w:sz w:val="22"/>
          <w:szCs w:val="22"/>
        </w:rPr>
        <w:t xml:space="preserve"> Poslední část závěrečného účtu obsahuje zprávu o výsledku přezkoumání hospodaření.</w:t>
      </w:r>
      <w:bookmarkStart w:id="7" w:name="_Toc224964530"/>
      <w:bookmarkStart w:id="8" w:name="_Toc194288867"/>
    </w:p>
    <w:p w:rsidR="00562262" w:rsidRDefault="00562262" w:rsidP="00562262">
      <w:pPr>
        <w:jc w:val="both"/>
        <w:rPr>
          <w:rStyle w:val="Siln"/>
        </w:rPr>
      </w:pPr>
    </w:p>
    <w:p w:rsidR="00CB5A4E" w:rsidRPr="003E450D" w:rsidRDefault="00CB5A4E" w:rsidP="003E450D">
      <w:pPr>
        <w:pStyle w:val="Nadpis2"/>
        <w:rPr>
          <w:rStyle w:val="Siln"/>
        </w:rPr>
      </w:pPr>
      <w:bookmarkStart w:id="9" w:name="_Toc385875196"/>
      <w:r w:rsidRPr="003E450D">
        <w:rPr>
          <w:rStyle w:val="Siln"/>
        </w:rPr>
        <w:t>1. Plnění rozpočtu příjmů a výdajů hlavní činnosti</w:t>
      </w:r>
      <w:bookmarkEnd w:id="9"/>
    </w:p>
    <w:bookmarkEnd w:id="7"/>
    <w:bookmarkEnd w:id="8"/>
    <w:p w:rsidR="009F412A" w:rsidRPr="00F20418" w:rsidRDefault="009D42FD" w:rsidP="009F412A">
      <w:pPr>
        <w:jc w:val="both"/>
        <w:rPr>
          <w:sz w:val="22"/>
          <w:szCs w:val="22"/>
        </w:rPr>
      </w:pPr>
      <w:r w:rsidRPr="00F20418">
        <w:rPr>
          <w:sz w:val="22"/>
          <w:szCs w:val="22"/>
        </w:rPr>
        <w:t>P</w:t>
      </w:r>
      <w:r w:rsidR="00F757A0" w:rsidRPr="00F20418">
        <w:rPr>
          <w:sz w:val="22"/>
          <w:szCs w:val="22"/>
        </w:rPr>
        <w:t xml:space="preserve">řehled </w:t>
      </w:r>
      <w:r w:rsidR="009F412A" w:rsidRPr="00F20418">
        <w:rPr>
          <w:sz w:val="22"/>
          <w:szCs w:val="22"/>
        </w:rPr>
        <w:t>o schváleném rozpočtu, provedených rozpočtových opatřeních a dosažené skutečnosti k 31.</w:t>
      </w:r>
      <w:r w:rsidR="00353941">
        <w:rPr>
          <w:sz w:val="22"/>
          <w:szCs w:val="22"/>
        </w:rPr>
        <w:t> </w:t>
      </w:r>
      <w:r w:rsidR="009F412A" w:rsidRPr="00F20418">
        <w:rPr>
          <w:sz w:val="22"/>
          <w:szCs w:val="22"/>
        </w:rPr>
        <w:t>12.</w:t>
      </w:r>
      <w:r w:rsidR="00353941">
        <w:rPr>
          <w:sz w:val="22"/>
          <w:szCs w:val="22"/>
        </w:rPr>
        <w:t> </w:t>
      </w:r>
      <w:r w:rsidR="009F412A" w:rsidRPr="00F20418">
        <w:rPr>
          <w:sz w:val="22"/>
          <w:szCs w:val="22"/>
        </w:rPr>
        <w:t>20</w:t>
      </w:r>
      <w:r w:rsidR="00224C81" w:rsidRPr="00F20418">
        <w:rPr>
          <w:sz w:val="22"/>
          <w:szCs w:val="22"/>
        </w:rPr>
        <w:t>1</w:t>
      </w:r>
      <w:r w:rsidR="00446D8E">
        <w:rPr>
          <w:sz w:val="22"/>
          <w:szCs w:val="22"/>
        </w:rPr>
        <w:t>3</w:t>
      </w:r>
      <w:r w:rsidR="009F412A" w:rsidRPr="00F20418">
        <w:rPr>
          <w:sz w:val="22"/>
          <w:szCs w:val="22"/>
        </w:rPr>
        <w:t xml:space="preserve">. </w:t>
      </w:r>
    </w:p>
    <w:p w:rsidR="009F412A" w:rsidRPr="00515151" w:rsidRDefault="009F412A" w:rsidP="009F412A">
      <w:pPr>
        <w:jc w:val="right"/>
        <w:rPr>
          <w:sz w:val="22"/>
          <w:szCs w:val="22"/>
        </w:rPr>
      </w:pPr>
      <w:r w:rsidRPr="00515151">
        <w:rPr>
          <w:sz w:val="22"/>
          <w:szCs w:val="22"/>
        </w:rPr>
        <w:t xml:space="preserve">v </w:t>
      </w:r>
      <w:r w:rsidR="005E1108" w:rsidRPr="00515151">
        <w:rPr>
          <w:sz w:val="22"/>
          <w:szCs w:val="22"/>
        </w:rPr>
        <w:t>tis. Kč</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828"/>
        <w:gridCol w:w="1134"/>
        <w:gridCol w:w="1134"/>
        <w:gridCol w:w="1134"/>
        <w:gridCol w:w="1134"/>
        <w:gridCol w:w="708"/>
      </w:tblGrid>
      <w:tr w:rsidR="000712C7" w:rsidRPr="001377D9" w:rsidTr="005E2BA1">
        <w:trPr>
          <w:trHeight w:val="524"/>
        </w:trPr>
        <w:tc>
          <w:tcPr>
            <w:tcW w:w="3828" w:type="dxa"/>
            <w:tcBorders>
              <w:top w:val="single" w:sz="4" w:space="0" w:color="auto"/>
              <w:left w:val="single" w:sz="4" w:space="0" w:color="auto"/>
              <w:bottom w:val="single" w:sz="4" w:space="0" w:color="auto"/>
              <w:right w:val="single" w:sz="4" w:space="0" w:color="auto"/>
            </w:tcBorders>
            <w:shd w:val="clear" w:color="auto" w:fill="EEECE1"/>
            <w:vAlign w:val="center"/>
          </w:tcPr>
          <w:p w:rsidR="000712C7" w:rsidRPr="00C06907" w:rsidRDefault="000712C7" w:rsidP="009F412A">
            <w:pPr>
              <w:jc w:val="center"/>
              <w:rPr>
                <w:b/>
                <w:sz w:val="18"/>
                <w:szCs w:val="18"/>
              </w:rPr>
            </w:pPr>
            <w:r w:rsidRPr="00C06907">
              <w:rPr>
                <w:b/>
                <w:sz w:val="18"/>
                <w:szCs w:val="18"/>
              </w:rPr>
              <w:t xml:space="preserve">Druh </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0712C7" w:rsidRPr="00C06907" w:rsidRDefault="000712C7" w:rsidP="009F412A">
            <w:pPr>
              <w:jc w:val="center"/>
              <w:rPr>
                <w:b/>
                <w:sz w:val="18"/>
                <w:szCs w:val="18"/>
              </w:rPr>
            </w:pPr>
            <w:r w:rsidRPr="00C06907">
              <w:rPr>
                <w:b/>
                <w:sz w:val="18"/>
                <w:szCs w:val="18"/>
              </w:rPr>
              <w:t xml:space="preserve">Schválený rozpočet </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0712C7" w:rsidRPr="00C06907" w:rsidRDefault="000712C7" w:rsidP="000954DE">
            <w:pPr>
              <w:jc w:val="center"/>
              <w:rPr>
                <w:b/>
                <w:sz w:val="18"/>
                <w:szCs w:val="18"/>
              </w:rPr>
            </w:pPr>
            <w:r w:rsidRPr="00C06907">
              <w:rPr>
                <w:b/>
                <w:sz w:val="18"/>
                <w:szCs w:val="18"/>
              </w:rPr>
              <w:t>Rozpočtová opatření</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0712C7" w:rsidRPr="00C06907" w:rsidRDefault="000712C7" w:rsidP="009F412A">
            <w:pPr>
              <w:jc w:val="center"/>
              <w:rPr>
                <w:b/>
                <w:sz w:val="18"/>
                <w:szCs w:val="18"/>
              </w:rPr>
            </w:pPr>
            <w:r w:rsidRPr="00C06907">
              <w:rPr>
                <w:b/>
                <w:sz w:val="18"/>
                <w:szCs w:val="18"/>
              </w:rPr>
              <w:t xml:space="preserve">Upravený rozpočet </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0712C7" w:rsidRPr="00C06907" w:rsidRDefault="000712C7" w:rsidP="000954DE">
            <w:pPr>
              <w:jc w:val="center"/>
              <w:rPr>
                <w:sz w:val="18"/>
                <w:szCs w:val="18"/>
              </w:rPr>
            </w:pPr>
            <w:r w:rsidRPr="00C06907">
              <w:rPr>
                <w:b/>
                <w:sz w:val="18"/>
                <w:szCs w:val="18"/>
              </w:rPr>
              <w:t>Plnění k</w:t>
            </w:r>
          </w:p>
          <w:p w:rsidR="000712C7" w:rsidRPr="00C06907" w:rsidRDefault="000712C7" w:rsidP="00446D8E">
            <w:pPr>
              <w:jc w:val="center"/>
              <w:rPr>
                <w:b/>
                <w:sz w:val="18"/>
                <w:szCs w:val="18"/>
              </w:rPr>
            </w:pPr>
            <w:r w:rsidRPr="00C06907">
              <w:rPr>
                <w:b/>
                <w:sz w:val="18"/>
                <w:szCs w:val="18"/>
              </w:rPr>
              <w:t>31.12.201</w:t>
            </w:r>
            <w:r w:rsidR="00446D8E" w:rsidRPr="00C06907">
              <w:rPr>
                <w:b/>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EEECE1"/>
            <w:vAlign w:val="center"/>
          </w:tcPr>
          <w:p w:rsidR="000712C7" w:rsidRPr="00C06907" w:rsidRDefault="000712C7" w:rsidP="00DC2FC4">
            <w:pPr>
              <w:jc w:val="center"/>
              <w:rPr>
                <w:b/>
                <w:sz w:val="18"/>
                <w:szCs w:val="18"/>
              </w:rPr>
            </w:pPr>
            <w:r w:rsidRPr="00C06907">
              <w:rPr>
                <w:b/>
                <w:sz w:val="18"/>
                <w:szCs w:val="18"/>
              </w:rPr>
              <w:t>% plnění k UR</w:t>
            </w:r>
          </w:p>
        </w:tc>
      </w:tr>
      <w:tr w:rsidR="000712C7" w:rsidRPr="001377D9" w:rsidTr="00647A7A">
        <w:trPr>
          <w:trHeight w:val="345"/>
        </w:trPr>
        <w:tc>
          <w:tcPr>
            <w:tcW w:w="3828" w:type="dxa"/>
            <w:tcBorders>
              <w:top w:val="single" w:sz="4" w:space="0" w:color="auto"/>
              <w:left w:val="single" w:sz="4" w:space="0" w:color="auto"/>
              <w:bottom w:val="single" w:sz="4" w:space="0" w:color="auto"/>
              <w:right w:val="single" w:sz="4" w:space="0" w:color="auto"/>
            </w:tcBorders>
            <w:vAlign w:val="center"/>
          </w:tcPr>
          <w:p w:rsidR="000712C7" w:rsidRPr="001377D9" w:rsidRDefault="000712C7" w:rsidP="00CE1C84">
            <w:pPr>
              <w:rPr>
                <w:sz w:val="18"/>
                <w:szCs w:val="18"/>
              </w:rPr>
            </w:pPr>
            <w:r w:rsidRPr="001377D9">
              <w:rPr>
                <w:sz w:val="18"/>
                <w:szCs w:val="18"/>
              </w:rPr>
              <w:t xml:space="preserve">Třída 1 - Daňové příjmy </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446D8E" w:rsidP="00CE6595">
            <w:pPr>
              <w:jc w:val="right"/>
              <w:rPr>
                <w:sz w:val="18"/>
                <w:szCs w:val="18"/>
              </w:rPr>
            </w:pPr>
            <w:r>
              <w:rPr>
                <w:sz w:val="18"/>
                <w:szCs w:val="18"/>
              </w:rPr>
              <w:t>77</w:t>
            </w:r>
            <w:r w:rsidR="00CE6595">
              <w:rPr>
                <w:sz w:val="18"/>
                <w:szCs w:val="18"/>
              </w:rPr>
              <w:t>.</w:t>
            </w:r>
            <w:r>
              <w:rPr>
                <w:sz w:val="18"/>
                <w:szCs w:val="18"/>
              </w:rPr>
              <w:t>020,0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446D8E" w:rsidP="00446D8E">
            <w:pPr>
              <w:jc w:val="right"/>
              <w:rPr>
                <w:sz w:val="18"/>
                <w:szCs w:val="18"/>
              </w:rPr>
            </w:pPr>
            <w:r>
              <w:rPr>
                <w:sz w:val="18"/>
                <w:szCs w:val="18"/>
              </w:rPr>
              <w:t>466,0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446D8E" w:rsidP="00CE6595">
            <w:pPr>
              <w:jc w:val="right"/>
              <w:rPr>
                <w:sz w:val="18"/>
                <w:szCs w:val="18"/>
              </w:rPr>
            </w:pPr>
            <w:r>
              <w:rPr>
                <w:sz w:val="18"/>
                <w:szCs w:val="18"/>
              </w:rPr>
              <w:t>77</w:t>
            </w:r>
            <w:r w:rsidR="00CE6595">
              <w:rPr>
                <w:sz w:val="18"/>
                <w:szCs w:val="18"/>
              </w:rPr>
              <w:t>.</w:t>
            </w:r>
            <w:r>
              <w:rPr>
                <w:sz w:val="18"/>
                <w:szCs w:val="18"/>
              </w:rPr>
              <w:t>486,0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446D8E" w:rsidP="00CE6595">
            <w:pPr>
              <w:jc w:val="right"/>
              <w:rPr>
                <w:sz w:val="18"/>
                <w:szCs w:val="18"/>
              </w:rPr>
            </w:pPr>
            <w:r>
              <w:rPr>
                <w:sz w:val="18"/>
                <w:szCs w:val="18"/>
              </w:rPr>
              <w:t>75</w:t>
            </w:r>
            <w:r w:rsidR="00CE6595">
              <w:rPr>
                <w:sz w:val="18"/>
                <w:szCs w:val="18"/>
              </w:rPr>
              <w:t>.</w:t>
            </w:r>
            <w:r>
              <w:rPr>
                <w:sz w:val="18"/>
                <w:szCs w:val="18"/>
              </w:rPr>
              <w:t>770,</w:t>
            </w:r>
            <w:r w:rsidR="002F3219">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0712C7" w:rsidRPr="001377D9" w:rsidRDefault="00446D8E" w:rsidP="00446D8E">
            <w:pPr>
              <w:jc w:val="right"/>
              <w:rPr>
                <w:sz w:val="18"/>
                <w:szCs w:val="18"/>
              </w:rPr>
            </w:pPr>
            <w:r>
              <w:rPr>
                <w:sz w:val="18"/>
                <w:szCs w:val="18"/>
              </w:rPr>
              <w:t>97,8</w:t>
            </w:r>
          </w:p>
        </w:tc>
      </w:tr>
      <w:tr w:rsidR="000712C7" w:rsidRPr="001377D9" w:rsidTr="00647A7A">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0712C7" w:rsidRPr="001377D9" w:rsidRDefault="000712C7" w:rsidP="00CE1C84">
            <w:pPr>
              <w:rPr>
                <w:sz w:val="18"/>
                <w:szCs w:val="18"/>
              </w:rPr>
            </w:pPr>
            <w:r w:rsidRPr="001377D9">
              <w:rPr>
                <w:sz w:val="18"/>
                <w:szCs w:val="18"/>
              </w:rPr>
              <w:t xml:space="preserve">Třída 2 - Nedaňové příjmy </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446D8E" w:rsidP="00CE6595">
            <w:pPr>
              <w:jc w:val="right"/>
              <w:rPr>
                <w:sz w:val="18"/>
                <w:szCs w:val="18"/>
              </w:rPr>
            </w:pPr>
            <w:r>
              <w:rPr>
                <w:sz w:val="18"/>
                <w:szCs w:val="18"/>
              </w:rPr>
              <w:t>8</w:t>
            </w:r>
            <w:r w:rsidR="00CE6595">
              <w:rPr>
                <w:sz w:val="18"/>
                <w:szCs w:val="18"/>
              </w:rPr>
              <w:t>.</w:t>
            </w:r>
            <w:r>
              <w:rPr>
                <w:sz w:val="18"/>
                <w:szCs w:val="18"/>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446D8E" w:rsidP="00CE6595">
            <w:pPr>
              <w:jc w:val="right"/>
              <w:rPr>
                <w:sz w:val="18"/>
                <w:szCs w:val="18"/>
              </w:rPr>
            </w:pPr>
            <w:r>
              <w:rPr>
                <w:sz w:val="18"/>
                <w:szCs w:val="18"/>
              </w:rPr>
              <w:t>1</w:t>
            </w:r>
            <w:r w:rsidR="00CE6595">
              <w:rPr>
                <w:sz w:val="18"/>
                <w:szCs w:val="18"/>
              </w:rPr>
              <w:t>.</w:t>
            </w:r>
            <w:r>
              <w:rPr>
                <w:sz w:val="18"/>
                <w:szCs w:val="18"/>
              </w:rPr>
              <w:t>646,3</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446D8E" w:rsidP="00446D8E">
            <w:pPr>
              <w:jc w:val="right"/>
              <w:rPr>
                <w:sz w:val="18"/>
                <w:szCs w:val="18"/>
              </w:rPr>
            </w:pPr>
            <w:r>
              <w:rPr>
                <w:sz w:val="18"/>
                <w:szCs w:val="18"/>
              </w:rPr>
              <w:t>9</w:t>
            </w:r>
            <w:r w:rsidR="00CE6595">
              <w:rPr>
                <w:sz w:val="18"/>
                <w:szCs w:val="18"/>
              </w:rPr>
              <w:t>.</w:t>
            </w:r>
            <w:r>
              <w:rPr>
                <w:sz w:val="18"/>
                <w:szCs w:val="18"/>
              </w:rPr>
              <w:t>946,3</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446D8E" w:rsidP="00CE6595">
            <w:pPr>
              <w:jc w:val="right"/>
              <w:rPr>
                <w:sz w:val="18"/>
                <w:szCs w:val="18"/>
              </w:rPr>
            </w:pPr>
            <w:r>
              <w:rPr>
                <w:sz w:val="18"/>
                <w:szCs w:val="18"/>
              </w:rPr>
              <w:t>10</w:t>
            </w:r>
            <w:r w:rsidR="00CE6595">
              <w:rPr>
                <w:sz w:val="18"/>
                <w:szCs w:val="18"/>
              </w:rPr>
              <w:t>.</w:t>
            </w:r>
            <w:r>
              <w:rPr>
                <w:sz w:val="18"/>
                <w:szCs w:val="18"/>
              </w:rPr>
              <w:t>9</w:t>
            </w:r>
            <w:r w:rsidR="002F3219">
              <w:rPr>
                <w:sz w:val="18"/>
                <w:szCs w:val="18"/>
              </w:rPr>
              <w:t>30,0</w:t>
            </w:r>
          </w:p>
        </w:tc>
        <w:tc>
          <w:tcPr>
            <w:tcW w:w="708" w:type="dxa"/>
            <w:tcBorders>
              <w:top w:val="single" w:sz="4" w:space="0" w:color="auto"/>
              <w:left w:val="single" w:sz="4" w:space="0" w:color="auto"/>
              <w:bottom w:val="single" w:sz="4" w:space="0" w:color="auto"/>
              <w:right w:val="single" w:sz="4" w:space="0" w:color="auto"/>
            </w:tcBorders>
            <w:vAlign w:val="center"/>
          </w:tcPr>
          <w:p w:rsidR="000712C7" w:rsidRPr="001377D9" w:rsidRDefault="00446D8E" w:rsidP="00D12796">
            <w:pPr>
              <w:jc w:val="right"/>
              <w:rPr>
                <w:sz w:val="18"/>
                <w:szCs w:val="18"/>
              </w:rPr>
            </w:pPr>
            <w:r>
              <w:rPr>
                <w:sz w:val="18"/>
                <w:szCs w:val="18"/>
              </w:rPr>
              <w:t>109,9</w:t>
            </w:r>
          </w:p>
        </w:tc>
      </w:tr>
      <w:tr w:rsidR="0070251D" w:rsidRPr="001377D9" w:rsidTr="00647A7A">
        <w:trPr>
          <w:trHeight w:val="308"/>
        </w:trPr>
        <w:tc>
          <w:tcPr>
            <w:tcW w:w="3828" w:type="dxa"/>
            <w:tcBorders>
              <w:top w:val="single" w:sz="4" w:space="0" w:color="auto"/>
              <w:left w:val="single" w:sz="4" w:space="0" w:color="auto"/>
              <w:bottom w:val="single" w:sz="4" w:space="0" w:color="auto"/>
              <w:right w:val="single" w:sz="4" w:space="0" w:color="auto"/>
            </w:tcBorders>
            <w:vAlign w:val="center"/>
          </w:tcPr>
          <w:p w:rsidR="0070251D" w:rsidRPr="001377D9" w:rsidRDefault="0070251D" w:rsidP="00D9042B">
            <w:pPr>
              <w:rPr>
                <w:sz w:val="18"/>
                <w:szCs w:val="18"/>
              </w:rPr>
            </w:pPr>
            <w:r w:rsidRPr="001377D9">
              <w:rPr>
                <w:sz w:val="18"/>
                <w:szCs w:val="18"/>
              </w:rPr>
              <w:t xml:space="preserve">Třída 3 </w:t>
            </w:r>
            <w:r w:rsidR="00F013D1" w:rsidRPr="001377D9">
              <w:rPr>
                <w:sz w:val="18"/>
                <w:szCs w:val="18"/>
              </w:rPr>
              <w:t>-</w:t>
            </w:r>
            <w:r w:rsidRPr="001377D9">
              <w:rPr>
                <w:sz w:val="18"/>
                <w:szCs w:val="18"/>
              </w:rPr>
              <w:t xml:space="preserve"> Kapitálové příjmy </w:t>
            </w:r>
          </w:p>
        </w:tc>
        <w:tc>
          <w:tcPr>
            <w:tcW w:w="1134" w:type="dxa"/>
            <w:tcBorders>
              <w:top w:val="single" w:sz="4" w:space="0" w:color="auto"/>
              <w:left w:val="single" w:sz="4" w:space="0" w:color="auto"/>
              <w:bottom w:val="single" w:sz="4" w:space="0" w:color="auto"/>
              <w:right w:val="single" w:sz="4" w:space="0" w:color="auto"/>
            </w:tcBorders>
            <w:vAlign w:val="center"/>
          </w:tcPr>
          <w:p w:rsidR="0070251D" w:rsidRPr="001377D9" w:rsidRDefault="0070251D" w:rsidP="00D12796">
            <w:pPr>
              <w:jc w:val="right"/>
              <w:rPr>
                <w:sz w:val="18"/>
                <w:szCs w:val="18"/>
              </w:rPr>
            </w:pPr>
            <w:r w:rsidRPr="001377D9">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70251D" w:rsidRPr="001377D9" w:rsidRDefault="00CE6595" w:rsidP="00446D8E">
            <w:pPr>
              <w:jc w:val="right"/>
              <w:rPr>
                <w:sz w:val="18"/>
                <w:szCs w:val="18"/>
              </w:rPr>
            </w:pPr>
            <w:r>
              <w:rPr>
                <w:sz w:val="18"/>
                <w:szCs w:val="18"/>
              </w:rPr>
              <w:t>5.</w:t>
            </w:r>
            <w:r w:rsidR="00446D8E">
              <w:rPr>
                <w:sz w:val="18"/>
                <w:szCs w:val="18"/>
              </w:rPr>
              <w:t>156,1</w:t>
            </w:r>
          </w:p>
        </w:tc>
        <w:tc>
          <w:tcPr>
            <w:tcW w:w="1134" w:type="dxa"/>
            <w:tcBorders>
              <w:top w:val="single" w:sz="4" w:space="0" w:color="auto"/>
              <w:left w:val="single" w:sz="4" w:space="0" w:color="auto"/>
              <w:bottom w:val="single" w:sz="4" w:space="0" w:color="auto"/>
              <w:right w:val="single" w:sz="4" w:space="0" w:color="auto"/>
            </w:tcBorders>
            <w:vAlign w:val="center"/>
          </w:tcPr>
          <w:p w:rsidR="0070251D" w:rsidRPr="001377D9" w:rsidRDefault="00446D8E" w:rsidP="00CE6595">
            <w:pPr>
              <w:jc w:val="right"/>
              <w:rPr>
                <w:sz w:val="18"/>
                <w:szCs w:val="18"/>
              </w:rPr>
            </w:pPr>
            <w:r>
              <w:rPr>
                <w:sz w:val="18"/>
                <w:szCs w:val="18"/>
              </w:rPr>
              <w:t>5</w:t>
            </w:r>
            <w:r w:rsidR="00CE6595">
              <w:rPr>
                <w:sz w:val="18"/>
                <w:szCs w:val="18"/>
              </w:rPr>
              <w:t>.</w:t>
            </w:r>
            <w:r>
              <w:rPr>
                <w:sz w:val="18"/>
                <w:szCs w:val="18"/>
              </w:rPr>
              <w:t>156,1</w:t>
            </w:r>
          </w:p>
        </w:tc>
        <w:tc>
          <w:tcPr>
            <w:tcW w:w="1134" w:type="dxa"/>
            <w:tcBorders>
              <w:top w:val="single" w:sz="4" w:space="0" w:color="auto"/>
              <w:left w:val="single" w:sz="4" w:space="0" w:color="auto"/>
              <w:bottom w:val="single" w:sz="4" w:space="0" w:color="auto"/>
              <w:right w:val="single" w:sz="4" w:space="0" w:color="auto"/>
            </w:tcBorders>
            <w:vAlign w:val="center"/>
          </w:tcPr>
          <w:p w:rsidR="0070251D" w:rsidRPr="001377D9" w:rsidRDefault="00446D8E" w:rsidP="00CE6595">
            <w:pPr>
              <w:jc w:val="right"/>
              <w:rPr>
                <w:sz w:val="18"/>
                <w:szCs w:val="18"/>
              </w:rPr>
            </w:pPr>
            <w:r>
              <w:rPr>
                <w:sz w:val="18"/>
                <w:szCs w:val="18"/>
              </w:rPr>
              <w:t>5</w:t>
            </w:r>
            <w:r w:rsidR="00CE6595">
              <w:rPr>
                <w:sz w:val="18"/>
                <w:szCs w:val="18"/>
              </w:rPr>
              <w:t>.</w:t>
            </w:r>
            <w:r>
              <w:rPr>
                <w:sz w:val="18"/>
                <w:szCs w:val="18"/>
              </w:rPr>
              <w:t>156,1</w:t>
            </w:r>
          </w:p>
        </w:tc>
        <w:tc>
          <w:tcPr>
            <w:tcW w:w="708" w:type="dxa"/>
            <w:tcBorders>
              <w:top w:val="single" w:sz="4" w:space="0" w:color="auto"/>
              <w:left w:val="single" w:sz="4" w:space="0" w:color="auto"/>
              <w:bottom w:val="single" w:sz="4" w:space="0" w:color="auto"/>
              <w:right w:val="single" w:sz="4" w:space="0" w:color="auto"/>
            </w:tcBorders>
            <w:vAlign w:val="center"/>
          </w:tcPr>
          <w:p w:rsidR="0070251D" w:rsidRPr="001377D9" w:rsidRDefault="0070251D" w:rsidP="0070251D">
            <w:pPr>
              <w:jc w:val="right"/>
              <w:rPr>
                <w:sz w:val="18"/>
                <w:szCs w:val="18"/>
              </w:rPr>
            </w:pPr>
            <w:r w:rsidRPr="001377D9">
              <w:rPr>
                <w:sz w:val="18"/>
                <w:szCs w:val="18"/>
              </w:rPr>
              <w:t>100,0</w:t>
            </w:r>
          </w:p>
        </w:tc>
      </w:tr>
      <w:tr w:rsidR="000712C7" w:rsidRPr="001377D9" w:rsidTr="00647A7A">
        <w:trPr>
          <w:trHeight w:val="308"/>
        </w:trPr>
        <w:tc>
          <w:tcPr>
            <w:tcW w:w="3828" w:type="dxa"/>
            <w:tcBorders>
              <w:top w:val="single" w:sz="4" w:space="0" w:color="auto"/>
              <w:left w:val="single" w:sz="4" w:space="0" w:color="auto"/>
              <w:bottom w:val="single" w:sz="4" w:space="0" w:color="auto"/>
              <w:right w:val="single" w:sz="4" w:space="0" w:color="auto"/>
            </w:tcBorders>
            <w:vAlign w:val="center"/>
          </w:tcPr>
          <w:p w:rsidR="000712C7" w:rsidRPr="001377D9" w:rsidRDefault="000712C7" w:rsidP="00D9042B">
            <w:pPr>
              <w:rPr>
                <w:sz w:val="18"/>
                <w:szCs w:val="18"/>
              </w:rPr>
            </w:pPr>
            <w:r w:rsidRPr="001377D9">
              <w:rPr>
                <w:sz w:val="18"/>
                <w:szCs w:val="18"/>
              </w:rPr>
              <w:t>Třída 4 - Přijaté transfery</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446D8E" w:rsidP="00CE6595">
            <w:pPr>
              <w:jc w:val="right"/>
              <w:rPr>
                <w:sz w:val="18"/>
                <w:szCs w:val="18"/>
              </w:rPr>
            </w:pPr>
            <w:r>
              <w:rPr>
                <w:sz w:val="18"/>
                <w:szCs w:val="18"/>
              </w:rPr>
              <w:t>496</w:t>
            </w:r>
            <w:r w:rsidR="00CE6595">
              <w:rPr>
                <w:sz w:val="18"/>
                <w:szCs w:val="18"/>
              </w:rPr>
              <w:t>.</w:t>
            </w:r>
            <w:r>
              <w:rPr>
                <w:sz w:val="18"/>
                <w:szCs w:val="18"/>
              </w:rPr>
              <w:t>230,8</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446D8E" w:rsidP="00CE6595">
            <w:pPr>
              <w:jc w:val="right"/>
              <w:rPr>
                <w:sz w:val="18"/>
                <w:szCs w:val="18"/>
              </w:rPr>
            </w:pPr>
            <w:r>
              <w:rPr>
                <w:sz w:val="18"/>
                <w:szCs w:val="18"/>
              </w:rPr>
              <w:t>231</w:t>
            </w:r>
            <w:r w:rsidR="00CE6595">
              <w:rPr>
                <w:sz w:val="18"/>
                <w:szCs w:val="18"/>
              </w:rPr>
              <w:t>.</w:t>
            </w:r>
            <w:r>
              <w:rPr>
                <w:sz w:val="18"/>
                <w:szCs w:val="18"/>
              </w:rPr>
              <w:t>744,7</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446D8E" w:rsidP="00CE6595">
            <w:pPr>
              <w:jc w:val="right"/>
              <w:rPr>
                <w:sz w:val="18"/>
                <w:szCs w:val="18"/>
              </w:rPr>
            </w:pPr>
            <w:r>
              <w:rPr>
                <w:sz w:val="18"/>
                <w:szCs w:val="18"/>
              </w:rPr>
              <w:t>727</w:t>
            </w:r>
            <w:r w:rsidR="00CE6595">
              <w:rPr>
                <w:sz w:val="18"/>
                <w:szCs w:val="18"/>
              </w:rPr>
              <w:t>.</w:t>
            </w:r>
            <w:r>
              <w:rPr>
                <w:sz w:val="18"/>
                <w:szCs w:val="18"/>
              </w:rPr>
              <w:t>975,5</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446D8E" w:rsidP="00CE6595">
            <w:pPr>
              <w:jc w:val="right"/>
              <w:rPr>
                <w:sz w:val="18"/>
                <w:szCs w:val="18"/>
              </w:rPr>
            </w:pPr>
            <w:r>
              <w:rPr>
                <w:sz w:val="18"/>
                <w:szCs w:val="18"/>
              </w:rPr>
              <w:t>699</w:t>
            </w:r>
            <w:r w:rsidR="00CE6595">
              <w:rPr>
                <w:sz w:val="18"/>
                <w:szCs w:val="18"/>
              </w:rPr>
              <w:t>.</w:t>
            </w:r>
            <w:r w:rsidR="00581FE8">
              <w:rPr>
                <w:sz w:val="18"/>
                <w:szCs w:val="18"/>
              </w:rPr>
              <w:t xml:space="preserve"> </w:t>
            </w:r>
            <w:r>
              <w:rPr>
                <w:sz w:val="18"/>
                <w:szCs w:val="18"/>
              </w:rPr>
              <w:t>754,</w:t>
            </w:r>
            <w:r w:rsidR="00093DAD">
              <w:rPr>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0712C7" w:rsidRPr="001377D9" w:rsidRDefault="00446D8E" w:rsidP="008A7E2F">
            <w:pPr>
              <w:jc w:val="right"/>
              <w:rPr>
                <w:sz w:val="18"/>
                <w:szCs w:val="18"/>
              </w:rPr>
            </w:pPr>
            <w:r>
              <w:rPr>
                <w:sz w:val="18"/>
                <w:szCs w:val="18"/>
              </w:rPr>
              <w:t>96,1</w:t>
            </w:r>
          </w:p>
        </w:tc>
      </w:tr>
      <w:tr w:rsidR="000712C7" w:rsidRPr="001377D9" w:rsidTr="00647A7A">
        <w:trPr>
          <w:trHeight w:val="342"/>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1377D9" w:rsidRDefault="000712C7" w:rsidP="00CE1C84">
            <w:pPr>
              <w:rPr>
                <w:b/>
                <w:sz w:val="18"/>
                <w:szCs w:val="18"/>
              </w:rPr>
            </w:pPr>
            <w:r w:rsidRPr="001377D9">
              <w:rPr>
                <w:b/>
                <w:sz w:val="18"/>
                <w:szCs w:val="18"/>
              </w:rPr>
              <w:t>Celkem příjmy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1377D9" w:rsidRDefault="00446D8E" w:rsidP="00581FE8">
            <w:pPr>
              <w:jc w:val="right"/>
              <w:rPr>
                <w:b/>
                <w:sz w:val="18"/>
                <w:szCs w:val="18"/>
              </w:rPr>
            </w:pPr>
            <w:r>
              <w:rPr>
                <w:b/>
                <w:sz w:val="18"/>
                <w:szCs w:val="18"/>
              </w:rPr>
              <w:t>581</w:t>
            </w:r>
            <w:r w:rsidR="00581FE8">
              <w:rPr>
                <w:b/>
                <w:sz w:val="18"/>
                <w:szCs w:val="18"/>
              </w:rPr>
              <w:t>.</w:t>
            </w:r>
            <w:r>
              <w:rPr>
                <w:b/>
                <w:sz w:val="18"/>
                <w:szCs w:val="18"/>
              </w:rPr>
              <w:t>550,8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1377D9" w:rsidRDefault="00446D8E" w:rsidP="00581FE8">
            <w:pPr>
              <w:jc w:val="right"/>
              <w:rPr>
                <w:b/>
                <w:sz w:val="18"/>
                <w:szCs w:val="18"/>
              </w:rPr>
            </w:pPr>
            <w:r>
              <w:rPr>
                <w:b/>
                <w:sz w:val="18"/>
                <w:szCs w:val="18"/>
              </w:rPr>
              <w:t>239</w:t>
            </w:r>
            <w:r w:rsidR="00581FE8">
              <w:rPr>
                <w:b/>
                <w:sz w:val="18"/>
                <w:szCs w:val="18"/>
              </w:rPr>
              <w:t>.</w:t>
            </w:r>
            <w:r>
              <w:rPr>
                <w:b/>
                <w:sz w:val="18"/>
                <w:szCs w:val="18"/>
              </w:rPr>
              <w:t>013,1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1377D9" w:rsidRDefault="00446D8E" w:rsidP="00581FE8">
            <w:pPr>
              <w:jc w:val="right"/>
              <w:rPr>
                <w:b/>
                <w:sz w:val="18"/>
                <w:szCs w:val="18"/>
              </w:rPr>
            </w:pPr>
            <w:r>
              <w:rPr>
                <w:b/>
                <w:sz w:val="18"/>
                <w:szCs w:val="18"/>
              </w:rPr>
              <w:t>820</w:t>
            </w:r>
            <w:r w:rsidR="00581FE8">
              <w:rPr>
                <w:b/>
                <w:sz w:val="18"/>
                <w:szCs w:val="18"/>
              </w:rPr>
              <w:t>.</w:t>
            </w:r>
            <w:r>
              <w:rPr>
                <w:b/>
                <w:sz w:val="18"/>
                <w:szCs w:val="18"/>
              </w:rPr>
              <w:t>563,9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1377D9" w:rsidRDefault="00446D8E" w:rsidP="00581FE8">
            <w:pPr>
              <w:jc w:val="right"/>
              <w:rPr>
                <w:b/>
                <w:sz w:val="18"/>
                <w:szCs w:val="18"/>
              </w:rPr>
            </w:pPr>
            <w:r>
              <w:rPr>
                <w:b/>
                <w:sz w:val="18"/>
                <w:szCs w:val="18"/>
              </w:rPr>
              <w:t>791</w:t>
            </w:r>
            <w:r w:rsidR="00581FE8">
              <w:rPr>
                <w:b/>
                <w:sz w:val="18"/>
                <w:szCs w:val="18"/>
              </w:rPr>
              <w:t>.</w:t>
            </w:r>
            <w:r>
              <w:rPr>
                <w:b/>
                <w:sz w:val="18"/>
                <w:szCs w:val="18"/>
              </w:rPr>
              <w:t>610,</w:t>
            </w:r>
            <w:r w:rsidR="00716F7A">
              <w:rPr>
                <w:b/>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712C7" w:rsidRPr="001377D9" w:rsidRDefault="00446D8E" w:rsidP="00446D8E">
            <w:pPr>
              <w:jc w:val="right"/>
              <w:rPr>
                <w:b/>
                <w:sz w:val="18"/>
                <w:szCs w:val="18"/>
              </w:rPr>
            </w:pPr>
            <w:r>
              <w:rPr>
                <w:b/>
                <w:sz w:val="18"/>
                <w:szCs w:val="18"/>
              </w:rPr>
              <w:t>96,5</w:t>
            </w:r>
          </w:p>
        </w:tc>
      </w:tr>
      <w:tr w:rsidR="000712C7" w:rsidRPr="001377D9" w:rsidTr="00647A7A">
        <w:trPr>
          <w:trHeight w:val="341"/>
        </w:trPr>
        <w:tc>
          <w:tcPr>
            <w:tcW w:w="3828" w:type="dxa"/>
            <w:tcBorders>
              <w:top w:val="single" w:sz="4" w:space="0" w:color="auto"/>
              <w:left w:val="single" w:sz="4" w:space="0" w:color="auto"/>
              <w:bottom w:val="single" w:sz="4" w:space="0" w:color="auto"/>
              <w:right w:val="single" w:sz="4" w:space="0" w:color="auto"/>
            </w:tcBorders>
            <w:vAlign w:val="center"/>
          </w:tcPr>
          <w:p w:rsidR="000712C7" w:rsidRPr="001377D9" w:rsidRDefault="000712C7" w:rsidP="00EB3AD7">
            <w:pPr>
              <w:rPr>
                <w:sz w:val="18"/>
                <w:szCs w:val="18"/>
              </w:rPr>
            </w:pPr>
            <w:r w:rsidRPr="001377D9">
              <w:rPr>
                <w:sz w:val="18"/>
                <w:szCs w:val="18"/>
              </w:rPr>
              <w:t>Třída 5 - Neinvestiční výdaje</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A35CA8" w:rsidP="00581FE8">
            <w:pPr>
              <w:jc w:val="right"/>
              <w:rPr>
                <w:sz w:val="18"/>
                <w:szCs w:val="18"/>
              </w:rPr>
            </w:pPr>
            <w:r>
              <w:rPr>
                <w:sz w:val="18"/>
                <w:szCs w:val="18"/>
              </w:rPr>
              <w:t>550</w:t>
            </w:r>
            <w:r w:rsidR="00581FE8">
              <w:rPr>
                <w:sz w:val="18"/>
                <w:szCs w:val="18"/>
              </w:rPr>
              <w:t>.</w:t>
            </w:r>
            <w:r>
              <w:rPr>
                <w:sz w:val="18"/>
                <w:szCs w:val="18"/>
              </w:rPr>
              <w:t>951,3</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F86980" w:rsidP="00581FE8">
            <w:pPr>
              <w:jc w:val="right"/>
              <w:rPr>
                <w:sz w:val="18"/>
                <w:szCs w:val="18"/>
              </w:rPr>
            </w:pPr>
            <w:r>
              <w:rPr>
                <w:sz w:val="18"/>
                <w:szCs w:val="18"/>
              </w:rPr>
              <w:t>74</w:t>
            </w:r>
            <w:r w:rsidR="00581FE8">
              <w:rPr>
                <w:sz w:val="18"/>
                <w:szCs w:val="18"/>
              </w:rPr>
              <w:t>.</w:t>
            </w:r>
            <w:r>
              <w:rPr>
                <w:sz w:val="18"/>
                <w:szCs w:val="18"/>
              </w:rPr>
              <w:t>383,4</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A35CA8" w:rsidP="00581FE8">
            <w:pPr>
              <w:jc w:val="right"/>
              <w:rPr>
                <w:sz w:val="18"/>
                <w:szCs w:val="18"/>
              </w:rPr>
            </w:pPr>
            <w:r>
              <w:rPr>
                <w:sz w:val="18"/>
                <w:szCs w:val="18"/>
              </w:rPr>
              <w:t>625</w:t>
            </w:r>
            <w:r w:rsidR="00581FE8">
              <w:rPr>
                <w:sz w:val="18"/>
                <w:szCs w:val="18"/>
              </w:rPr>
              <w:t>.</w:t>
            </w:r>
            <w:r>
              <w:rPr>
                <w:sz w:val="18"/>
                <w:szCs w:val="18"/>
              </w:rPr>
              <w:t>334,7</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F86980" w:rsidP="00581FE8">
            <w:pPr>
              <w:jc w:val="right"/>
              <w:rPr>
                <w:sz w:val="18"/>
                <w:szCs w:val="18"/>
              </w:rPr>
            </w:pPr>
            <w:r>
              <w:rPr>
                <w:sz w:val="18"/>
                <w:szCs w:val="18"/>
              </w:rPr>
              <w:t>555</w:t>
            </w:r>
            <w:r w:rsidR="00581FE8">
              <w:rPr>
                <w:sz w:val="18"/>
                <w:szCs w:val="18"/>
              </w:rPr>
              <w:t>.</w:t>
            </w:r>
            <w:r>
              <w:rPr>
                <w:sz w:val="18"/>
                <w:szCs w:val="18"/>
              </w:rPr>
              <w:t>606,1</w:t>
            </w:r>
          </w:p>
        </w:tc>
        <w:tc>
          <w:tcPr>
            <w:tcW w:w="708" w:type="dxa"/>
            <w:tcBorders>
              <w:top w:val="single" w:sz="4" w:space="0" w:color="auto"/>
              <w:left w:val="single" w:sz="4" w:space="0" w:color="auto"/>
              <w:bottom w:val="single" w:sz="4" w:space="0" w:color="auto"/>
              <w:right w:val="single" w:sz="4" w:space="0" w:color="auto"/>
            </w:tcBorders>
            <w:vAlign w:val="center"/>
          </w:tcPr>
          <w:p w:rsidR="000712C7" w:rsidRPr="001377D9" w:rsidRDefault="00F86980" w:rsidP="00F86980">
            <w:pPr>
              <w:jc w:val="right"/>
              <w:rPr>
                <w:sz w:val="18"/>
                <w:szCs w:val="18"/>
              </w:rPr>
            </w:pPr>
            <w:r>
              <w:rPr>
                <w:sz w:val="18"/>
                <w:szCs w:val="18"/>
              </w:rPr>
              <w:t>88,9</w:t>
            </w:r>
          </w:p>
        </w:tc>
      </w:tr>
      <w:tr w:rsidR="000712C7" w:rsidRPr="001377D9" w:rsidTr="00647A7A">
        <w:trPr>
          <w:trHeight w:val="338"/>
        </w:trPr>
        <w:tc>
          <w:tcPr>
            <w:tcW w:w="3828" w:type="dxa"/>
            <w:tcBorders>
              <w:top w:val="single" w:sz="4" w:space="0" w:color="auto"/>
              <w:left w:val="single" w:sz="4" w:space="0" w:color="auto"/>
              <w:bottom w:val="single" w:sz="4" w:space="0" w:color="auto"/>
              <w:right w:val="single" w:sz="4" w:space="0" w:color="auto"/>
            </w:tcBorders>
            <w:vAlign w:val="center"/>
          </w:tcPr>
          <w:p w:rsidR="000712C7" w:rsidRPr="001377D9" w:rsidRDefault="000712C7" w:rsidP="00CE1C84">
            <w:pPr>
              <w:rPr>
                <w:sz w:val="18"/>
                <w:szCs w:val="18"/>
              </w:rPr>
            </w:pPr>
            <w:r w:rsidRPr="001377D9">
              <w:rPr>
                <w:sz w:val="18"/>
                <w:szCs w:val="18"/>
              </w:rPr>
              <w:t xml:space="preserve">Třída 6 - Investiční výdaje </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A35CA8" w:rsidP="00581FE8">
            <w:pPr>
              <w:jc w:val="right"/>
              <w:rPr>
                <w:sz w:val="18"/>
                <w:szCs w:val="18"/>
              </w:rPr>
            </w:pPr>
            <w:r>
              <w:rPr>
                <w:sz w:val="18"/>
                <w:szCs w:val="18"/>
              </w:rPr>
              <w:t>161</w:t>
            </w:r>
            <w:r w:rsidR="00581FE8">
              <w:rPr>
                <w:sz w:val="18"/>
                <w:szCs w:val="18"/>
              </w:rPr>
              <w:t>.</w:t>
            </w:r>
            <w:r>
              <w:rPr>
                <w:sz w:val="18"/>
                <w:szCs w:val="18"/>
              </w:rPr>
              <w:t>507,0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F86980" w:rsidP="00581FE8">
            <w:pPr>
              <w:jc w:val="right"/>
              <w:rPr>
                <w:sz w:val="18"/>
                <w:szCs w:val="18"/>
              </w:rPr>
            </w:pPr>
            <w:r>
              <w:rPr>
                <w:sz w:val="18"/>
                <w:szCs w:val="18"/>
              </w:rPr>
              <w:t>13</w:t>
            </w:r>
            <w:r w:rsidR="00581FE8">
              <w:rPr>
                <w:sz w:val="18"/>
                <w:szCs w:val="18"/>
              </w:rPr>
              <w:t>.</w:t>
            </w:r>
            <w:r>
              <w:rPr>
                <w:sz w:val="18"/>
                <w:szCs w:val="18"/>
              </w:rPr>
              <w:t>119,3</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F86980" w:rsidP="00581FE8">
            <w:pPr>
              <w:jc w:val="right"/>
              <w:rPr>
                <w:sz w:val="18"/>
                <w:szCs w:val="18"/>
              </w:rPr>
            </w:pPr>
            <w:r>
              <w:rPr>
                <w:sz w:val="18"/>
                <w:szCs w:val="18"/>
              </w:rPr>
              <w:t>174</w:t>
            </w:r>
            <w:r w:rsidR="00581FE8">
              <w:rPr>
                <w:sz w:val="18"/>
                <w:szCs w:val="18"/>
              </w:rPr>
              <w:t>.</w:t>
            </w:r>
            <w:r>
              <w:rPr>
                <w:sz w:val="18"/>
                <w:szCs w:val="18"/>
              </w:rPr>
              <w:t>626,3</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F86980" w:rsidP="00581FE8">
            <w:pPr>
              <w:jc w:val="right"/>
              <w:rPr>
                <w:sz w:val="18"/>
                <w:szCs w:val="18"/>
              </w:rPr>
            </w:pPr>
            <w:r>
              <w:rPr>
                <w:sz w:val="18"/>
                <w:szCs w:val="18"/>
              </w:rPr>
              <w:t>125</w:t>
            </w:r>
            <w:r w:rsidR="00581FE8">
              <w:rPr>
                <w:sz w:val="18"/>
                <w:szCs w:val="18"/>
              </w:rPr>
              <w:t>.</w:t>
            </w:r>
            <w:r>
              <w:rPr>
                <w:sz w:val="18"/>
                <w:szCs w:val="18"/>
              </w:rPr>
              <w:t>73</w:t>
            </w:r>
            <w:r w:rsidR="00CD4094">
              <w:rPr>
                <w:sz w:val="18"/>
                <w:szCs w:val="18"/>
              </w:rPr>
              <w:t>8,0</w:t>
            </w:r>
          </w:p>
        </w:tc>
        <w:tc>
          <w:tcPr>
            <w:tcW w:w="708" w:type="dxa"/>
            <w:tcBorders>
              <w:top w:val="single" w:sz="4" w:space="0" w:color="auto"/>
              <w:left w:val="single" w:sz="4" w:space="0" w:color="auto"/>
              <w:bottom w:val="single" w:sz="4" w:space="0" w:color="auto"/>
              <w:right w:val="single" w:sz="4" w:space="0" w:color="auto"/>
            </w:tcBorders>
            <w:vAlign w:val="center"/>
          </w:tcPr>
          <w:p w:rsidR="000712C7" w:rsidRPr="001377D9" w:rsidRDefault="00F86980" w:rsidP="00F86980">
            <w:pPr>
              <w:jc w:val="right"/>
              <w:rPr>
                <w:sz w:val="18"/>
                <w:szCs w:val="18"/>
              </w:rPr>
            </w:pPr>
            <w:r>
              <w:rPr>
                <w:sz w:val="18"/>
                <w:szCs w:val="18"/>
              </w:rPr>
              <w:t>72,0</w:t>
            </w:r>
          </w:p>
        </w:tc>
      </w:tr>
      <w:tr w:rsidR="000712C7" w:rsidRPr="001377D9" w:rsidTr="00647A7A">
        <w:trPr>
          <w:trHeight w:val="358"/>
        </w:trPr>
        <w:tc>
          <w:tcPr>
            <w:tcW w:w="3828" w:type="dxa"/>
            <w:tcBorders>
              <w:top w:val="single" w:sz="4" w:space="0" w:color="auto"/>
              <w:left w:val="single" w:sz="4" w:space="0" w:color="auto"/>
              <w:bottom w:val="single" w:sz="4" w:space="0" w:color="auto"/>
              <w:right w:val="single" w:sz="4" w:space="0" w:color="auto"/>
            </w:tcBorders>
            <w:vAlign w:val="center"/>
          </w:tcPr>
          <w:p w:rsidR="000712C7" w:rsidRPr="001377D9" w:rsidRDefault="000712C7" w:rsidP="00CE1C84">
            <w:pPr>
              <w:rPr>
                <w:b/>
                <w:sz w:val="18"/>
                <w:szCs w:val="18"/>
              </w:rPr>
            </w:pPr>
            <w:r w:rsidRPr="001377D9">
              <w:rPr>
                <w:b/>
                <w:sz w:val="18"/>
                <w:szCs w:val="18"/>
              </w:rPr>
              <w:t>Celkem výdaje</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A35CA8" w:rsidP="00581FE8">
            <w:pPr>
              <w:jc w:val="right"/>
              <w:rPr>
                <w:b/>
                <w:sz w:val="18"/>
                <w:szCs w:val="18"/>
              </w:rPr>
            </w:pPr>
            <w:r>
              <w:rPr>
                <w:b/>
                <w:sz w:val="18"/>
                <w:szCs w:val="18"/>
              </w:rPr>
              <w:t>712</w:t>
            </w:r>
            <w:r w:rsidR="00581FE8">
              <w:rPr>
                <w:b/>
                <w:sz w:val="18"/>
                <w:szCs w:val="18"/>
              </w:rPr>
              <w:t>.</w:t>
            </w:r>
            <w:r>
              <w:rPr>
                <w:b/>
                <w:sz w:val="18"/>
                <w:szCs w:val="18"/>
              </w:rPr>
              <w:t>458,3</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F86980" w:rsidP="00581FE8">
            <w:pPr>
              <w:jc w:val="right"/>
              <w:rPr>
                <w:b/>
                <w:sz w:val="18"/>
                <w:szCs w:val="18"/>
              </w:rPr>
            </w:pPr>
            <w:r>
              <w:rPr>
                <w:b/>
                <w:sz w:val="18"/>
                <w:szCs w:val="18"/>
              </w:rPr>
              <w:t>87</w:t>
            </w:r>
            <w:r w:rsidR="00581FE8">
              <w:rPr>
                <w:b/>
                <w:sz w:val="18"/>
                <w:szCs w:val="18"/>
              </w:rPr>
              <w:t>.</w:t>
            </w:r>
            <w:r>
              <w:rPr>
                <w:b/>
                <w:sz w:val="18"/>
                <w:szCs w:val="18"/>
              </w:rPr>
              <w:t>502,7</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F86980" w:rsidP="00581FE8">
            <w:pPr>
              <w:jc w:val="right"/>
              <w:rPr>
                <w:b/>
                <w:sz w:val="18"/>
                <w:szCs w:val="18"/>
              </w:rPr>
            </w:pPr>
            <w:r>
              <w:rPr>
                <w:b/>
                <w:sz w:val="18"/>
                <w:szCs w:val="18"/>
              </w:rPr>
              <w:t>799</w:t>
            </w:r>
            <w:r w:rsidR="00581FE8">
              <w:rPr>
                <w:b/>
                <w:sz w:val="18"/>
                <w:szCs w:val="18"/>
              </w:rPr>
              <w:t>.</w:t>
            </w:r>
            <w:r>
              <w:rPr>
                <w:b/>
                <w:sz w:val="18"/>
                <w:szCs w:val="18"/>
              </w:rPr>
              <w:t>961,0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F86980" w:rsidP="00581FE8">
            <w:pPr>
              <w:jc w:val="right"/>
              <w:rPr>
                <w:b/>
                <w:sz w:val="18"/>
                <w:szCs w:val="18"/>
              </w:rPr>
            </w:pPr>
            <w:r>
              <w:rPr>
                <w:b/>
                <w:sz w:val="18"/>
                <w:szCs w:val="18"/>
              </w:rPr>
              <w:t>681</w:t>
            </w:r>
            <w:r w:rsidR="00581FE8">
              <w:rPr>
                <w:b/>
                <w:sz w:val="18"/>
                <w:szCs w:val="18"/>
              </w:rPr>
              <w:t>.</w:t>
            </w:r>
            <w:r>
              <w:rPr>
                <w:b/>
                <w:sz w:val="18"/>
                <w:szCs w:val="18"/>
              </w:rPr>
              <w:t>344,1</w:t>
            </w:r>
          </w:p>
        </w:tc>
        <w:tc>
          <w:tcPr>
            <w:tcW w:w="708" w:type="dxa"/>
            <w:tcBorders>
              <w:top w:val="single" w:sz="4" w:space="0" w:color="auto"/>
              <w:left w:val="single" w:sz="4" w:space="0" w:color="auto"/>
              <w:bottom w:val="single" w:sz="4" w:space="0" w:color="auto"/>
              <w:right w:val="single" w:sz="4" w:space="0" w:color="auto"/>
            </w:tcBorders>
            <w:vAlign w:val="center"/>
          </w:tcPr>
          <w:p w:rsidR="000712C7" w:rsidRPr="001377D9" w:rsidRDefault="00F86980" w:rsidP="00AC74DD">
            <w:pPr>
              <w:jc w:val="right"/>
              <w:rPr>
                <w:b/>
                <w:sz w:val="18"/>
                <w:szCs w:val="18"/>
              </w:rPr>
            </w:pPr>
            <w:r>
              <w:rPr>
                <w:b/>
                <w:sz w:val="18"/>
                <w:szCs w:val="18"/>
              </w:rPr>
              <w:t>85,2</w:t>
            </w:r>
          </w:p>
        </w:tc>
      </w:tr>
      <w:tr w:rsidR="000712C7" w:rsidRPr="001377D9" w:rsidTr="005E2BA1">
        <w:trPr>
          <w:trHeight w:val="420"/>
        </w:trPr>
        <w:tc>
          <w:tcPr>
            <w:tcW w:w="3828" w:type="dxa"/>
            <w:tcBorders>
              <w:top w:val="single" w:sz="4" w:space="0" w:color="auto"/>
              <w:left w:val="single" w:sz="4" w:space="0" w:color="auto"/>
              <w:bottom w:val="single" w:sz="4" w:space="0" w:color="auto"/>
              <w:right w:val="single" w:sz="4" w:space="0" w:color="auto"/>
            </w:tcBorders>
            <w:shd w:val="clear" w:color="auto" w:fill="EEECE1"/>
            <w:vAlign w:val="center"/>
          </w:tcPr>
          <w:p w:rsidR="000712C7" w:rsidRPr="001377D9" w:rsidRDefault="000712C7" w:rsidP="00E03B10">
            <w:pPr>
              <w:rPr>
                <w:b/>
                <w:sz w:val="18"/>
                <w:szCs w:val="18"/>
              </w:rPr>
            </w:pPr>
            <w:r w:rsidRPr="001377D9">
              <w:rPr>
                <w:b/>
                <w:sz w:val="18"/>
                <w:szCs w:val="18"/>
              </w:rPr>
              <w:t xml:space="preserve">Příjmy – výdaje </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0712C7" w:rsidRPr="00ED7223" w:rsidRDefault="000712C7" w:rsidP="00581FE8">
            <w:pPr>
              <w:jc w:val="right"/>
              <w:rPr>
                <w:b/>
                <w:sz w:val="18"/>
                <w:szCs w:val="18"/>
              </w:rPr>
            </w:pPr>
            <w:r w:rsidRPr="00ED7223">
              <w:rPr>
                <w:b/>
                <w:sz w:val="18"/>
                <w:szCs w:val="18"/>
              </w:rPr>
              <w:t>-</w:t>
            </w:r>
            <w:r w:rsidR="00D17D91" w:rsidRPr="00ED7223">
              <w:rPr>
                <w:b/>
                <w:sz w:val="18"/>
                <w:szCs w:val="18"/>
              </w:rPr>
              <w:t>1</w:t>
            </w:r>
            <w:r w:rsidR="00716F7A" w:rsidRPr="00ED7223">
              <w:rPr>
                <w:b/>
                <w:sz w:val="18"/>
                <w:szCs w:val="18"/>
              </w:rPr>
              <w:t>30</w:t>
            </w:r>
            <w:r w:rsidR="00581FE8" w:rsidRPr="00ED7223">
              <w:rPr>
                <w:b/>
                <w:sz w:val="18"/>
                <w:szCs w:val="18"/>
              </w:rPr>
              <w:t>.</w:t>
            </w:r>
            <w:r w:rsidR="00716F7A" w:rsidRPr="00ED7223">
              <w:rPr>
                <w:b/>
                <w:sz w:val="18"/>
                <w:szCs w:val="18"/>
              </w:rPr>
              <w:t>907,5</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0712C7" w:rsidRPr="00ED7223" w:rsidRDefault="000712C7" w:rsidP="006930E4">
            <w:pPr>
              <w:jc w:val="right"/>
              <w:rPr>
                <w:b/>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0712C7" w:rsidRPr="00ED7223" w:rsidRDefault="00716F7A" w:rsidP="00581FE8">
            <w:pPr>
              <w:jc w:val="right"/>
              <w:rPr>
                <w:b/>
                <w:sz w:val="18"/>
                <w:szCs w:val="18"/>
              </w:rPr>
            </w:pPr>
            <w:r w:rsidRPr="00ED7223">
              <w:rPr>
                <w:b/>
                <w:sz w:val="18"/>
                <w:szCs w:val="18"/>
              </w:rPr>
              <w:t>20</w:t>
            </w:r>
            <w:r w:rsidR="00581FE8" w:rsidRPr="00ED7223">
              <w:rPr>
                <w:b/>
                <w:sz w:val="18"/>
                <w:szCs w:val="18"/>
              </w:rPr>
              <w:t>.</w:t>
            </w:r>
            <w:r w:rsidRPr="00ED7223">
              <w:rPr>
                <w:b/>
                <w:sz w:val="18"/>
                <w:szCs w:val="18"/>
              </w:rPr>
              <w:t>602,9</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0712C7" w:rsidRPr="00ED7223" w:rsidRDefault="00716F7A" w:rsidP="00581FE8">
            <w:pPr>
              <w:jc w:val="right"/>
              <w:rPr>
                <w:b/>
                <w:sz w:val="18"/>
                <w:szCs w:val="18"/>
              </w:rPr>
            </w:pPr>
            <w:r w:rsidRPr="00ED7223">
              <w:rPr>
                <w:b/>
                <w:sz w:val="18"/>
                <w:szCs w:val="18"/>
              </w:rPr>
              <w:t>110</w:t>
            </w:r>
            <w:r w:rsidR="00581FE8" w:rsidRPr="00ED7223">
              <w:rPr>
                <w:b/>
                <w:sz w:val="18"/>
                <w:szCs w:val="18"/>
              </w:rPr>
              <w:t>.</w:t>
            </w:r>
            <w:r w:rsidRPr="00ED7223">
              <w:rPr>
                <w:b/>
                <w:sz w:val="18"/>
                <w:szCs w:val="18"/>
              </w:rPr>
              <w:t>266,0</w:t>
            </w:r>
          </w:p>
        </w:tc>
        <w:tc>
          <w:tcPr>
            <w:tcW w:w="708" w:type="dxa"/>
            <w:tcBorders>
              <w:top w:val="single" w:sz="4" w:space="0" w:color="auto"/>
              <w:left w:val="single" w:sz="4" w:space="0" w:color="auto"/>
              <w:bottom w:val="single" w:sz="4" w:space="0" w:color="auto"/>
              <w:right w:val="single" w:sz="4" w:space="0" w:color="auto"/>
            </w:tcBorders>
            <w:shd w:val="clear" w:color="auto" w:fill="EEECE1"/>
            <w:vAlign w:val="center"/>
          </w:tcPr>
          <w:p w:rsidR="000712C7" w:rsidRPr="001377D9" w:rsidRDefault="000712C7" w:rsidP="00CE1C84">
            <w:pPr>
              <w:jc w:val="right"/>
              <w:rPr>
                <w:sz w:val="18"/>
                <w:szCs w:val="18"/>
              </w:rPr>
            </w:pPr>
          </w:p>
        </w:tc>
      </w:tr>
      <w:tr w:rsidR="000712C7" w:rsidRPr="001377D9" w:rsidTr="006B1C74">
        <w:trPr>
          <w:trHeight w:val="496"/>
        </w:trPr>
        <w:tc>
          <w:tcPr>
            <w:tcW w:w="3828" w:type="dxa"/>
            <w:tcBorders>
              <w:top w:val="single" w:sz="4" w:space="0" w:color="auto"/>
              <w:left w:val="single" w:sz="4" w:space="0" w:color="auto"/>
              <w:bottom w:val="single" w:sz="4" w:space="0" w:color="auto"/>
              <w:right w:val="single" w:sz="4" w:space="0" w:color="auto"/>
            </w:tcBorders>
            <w:vAlign w:val="center"/>
          </w:tcPr>
          <w:p w:rsidR="000712C7" w:rsidRPr="001377D9" w:rsidRDefault="000712C7" w:rsidP="00837873">
            <w:pPr>
              <w:rPr>
                <w:sz w:val="18"/>
                <w:szCs w:val="18"/>
              </w:rPr>
            </w:pPr>
            <w:r w:rsidRPr="001377D9">
              <w:rPr>
                <w:sz w:val="18"/>
                <w:szCs w:val="18"/>
              </w:rPr>
              <w:t>Změna stavu krátkodobých prostředků na ba</w:t>
            </w:r>
            <w:r w:rsidRPr="001377D9">
              <w:rPr>
                <w:sz w:val="18"/>
                <w:szCs w:val="18"/>
              </w:rPr>
              <w:t>n</w:t>
            </w:r>
            <w:r w:rsidRPr="001377D9">
              <w:rPr>
                <w:sz w:val="18"/>
                <w:szCs w:val="18"/>
              </w:rPr>
              <w:t>kovních účtech</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D17D91" w:rsidP="00ED7223">
            <w:pPr>
              <w:jc w:val="right"/>
              <w:rPr>
                <w:sz w:val="18"/>
                <w:szCs w:val="18"/>
              </w:rPr>
            </w:pPr>
            <w:r w:rsidRPr="001377D9">
              <w:rPr>
                <w:sz w:val="18"/>
                <w:szCs w:val="18"/>
              </w:rPr>
              <w:t>1</w:t>
            </w:r>
            <w:r w:rsidR="00716F7A">
              <w:rPr>
                <w:sz w:val="18"/>
                <w:szCs w:val="18"/>
              </w:rPr>
              <w:t>29</w:t>
            </w:r>
            <w:r w:rsidR="00ED7223">
              <w:rPr>
                <w:sz w:val="18"/>
                <w:szCs w:val="18"/>
              </w:rPr>
              <w:t>.</w:t>
            </w:r>
            <w:r w:rsidR="00716F7A">
              <w:rPr>
                <w:sz w:val="18"/>
                <w:szCs w:val="18"/>
              </w:rPr>
              <w:t>907,5</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241974" w:rsidP="00ED7223">
            <w:pPr>
              <w:jc w:val="right"/>
              <w:rPr>
                <w:sz w:val="18"/>
                <w:szCs w:val="18"/>
              </w:rPr>
            </w:pPr>
            <w:r w:rsidRPr="00241974">
              <w:rPr>
                <w:sz w:val="18"/>
                <w:szCs w:val="18"/>
              </w:rPr>
              <w:t>-151</w:t>
            </w:r>
            <w:r w:rsidR="00ED7223">
              <w:rPr>
                <w:sz w:val="18"/>
                <w:szCs w:val="18"/>
              </w:rPr>
              <w:t>.</w:t>
            </w:r>
            <w:r w:rsidRPr="00241974">
              <w:rPr>
                <w:sz w:val="18"/>
                <w:szCs w:val="18"/>
              </w:rPr>
              <w:t>510,4</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D17D91" w:rsidP="00ED7223">
            <w:pPr>
              <w:jc w:val="right"/>
              <w:rPr>
                <w:sz w:val="18"/>
                <w:szCs w:val="18"/>
              </w:rPr>
            </w:pPr>
            <w:r w:rsidRPr="001377D9">
              <w:rPr>
                <w:sz w:val="18"/>
                <w:szCs w:val="18"/>
              </w:rPr>
              <w:t>-</w:t>
            </w:r>
            <w:r w:rsidR="005408A2">
              <w:rPr>
                <w:sz w:val="18"/>
                <w:szCs w:val="18"/>
              </w:rPr>
              <w:t>21</w:t>
            </w:r>
            <w:r w:rsidR="00ED7223">
              <w:rPr>
                <w:sz w:val="18"/>
                <w:szCs w:val="18"/>
              </w:rPr>
              <w:t>.</w:t>
            </w:r>
            <w:r w:rsidR="005408A2">
              <w:rPr>
                <w:sz w:val="18"/>
                <w:szCs w:val="18"/>
              </w:rPr>
              <w:t>602,9</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D17D91" w:rsidP="00ED7223">
            <w:pPr>
              <w:jc w:val="right"/>
              <w:rPr>
                <w:sz w:val="18"/>
                <w:szCs w:val="18"/>
              </w:rPr>
            </w:pPr>
            <w:r w:rsidRPr="001377D9">
              <w:rPr>
                <w:sz w:val="18"/>
                <w:szCs w:val="18"/>
              </w:rPr>
              <w:t>-</w:t>
            </w:r>
            <w:r w:rsidR="00CE0506">
              <w:rPr>
                <w:sz w:val="18"/>
                <w:szCs w:val="18"/>
              </w:rPr>
              <w:t>213</w:t>
            </w:r>
            <w:r w:rsidR="00ED7223">
              <w:rPr>
                <w:sz w:val="18"/>
                <w:szCs w:val="18"/>
              </w:rPr>
              <w:t>.</w:t>
            </w:r>
            <w:r w:rsidR="00CE0506">
              <w:rPr>
                <w:sz w:val="18"/>
                <w:szCs w:val="18"/>
              </w:rPr>
              <w:t>635,</w:t>
            </w:r>
            <w:r w:rsidR="00A25816">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0712C7" w:rsidRPr="001377D9" w:rsidRDefault="000712C7" w:rsidP="00CE1C84">
            <w:pPr>
              <w:jc w:val="right"/>
              <w:rPr>
                <w:sz w:val="18"/>
                <w:szCs w:val="18"/>
              </w:rPr>
            </w:pPr>
          </w:p>
        </w:tc>
      </w:tr>
      <w:tr w:rsidR="000712C7" w:rsidRPr="001377D9" w:rsidTr="00647A7A">
        <w:trPr>
          <w:trHeight w:val="517"/>
        </w:trPr>
        <w:tc>
          <w:tcPr>
            <w:tcW w:w="3828" w:type="dxa"/>
            <w:tcBorders>
              <w:top w:val="single" w:sz="4" w:space="0" w:color="auto"/>
              <w:left w:val="single" w:sz="4" w:space="0" w:color="auto"/>
              <w:bottom w:val="single" w:sz="4" w:space="0" w:color="auto"/>
              <w:right w:val="single" w:sz="4" w:space="0" w:color="auto"/>
            </w:tcBorders>
            <w:vAlign w:val="center"/>
          </w:tcPr>
          <w:p w:rsidR="000712C7" w:rsidRPr="001377D9" w:rsidRDefault="000712C7" w:rsidP="00164DD3">
            <w:pPr>
              <w:rPr>
                <w:sz w:val="18"/>
                <w:szCs w:val="18"/>
              </w:rPr>
            </w:pPr>
            <w:r w:rsidRPr="001377D9">
              <w:rPr>
                <w:sz w:val="18"/>
                <w:szCs w:val="18"/>
              </w:rPr>
              <w:t xml:space="preserve">Návratná finanční výpomoc – splátka od MČ </w:t>
            </w:r>
            <w:r w:rsidR="00330FB9">
              <w:rPr>
                <w:sz w:val="18"/>
                <w:szCs w:val="18"/>
              </w:rPr>
              <w:t xml:space="preserve">Praha </w:t>
            </w:r>
            <w:r w:rsidRPr="001377D9">
              <w:rPr>
                <w:sz w:val="18"/>
                <w:szCs w:val="18"/>
              </w:rPr>
              <w:t xml:space="preserve">Lipence </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0712C7" w:rsidP="00686289">
            <w:pPr>
              <w:jc w:val="right"/>
              <w:rPr>
                <w:sz w:val="18"/>
                <w:szCs w:val="18"/>
              </w:rPr>
            </w:pPr>
            <w:r w:rsidRPr="001377D9">
              <w:rPr>
                <w:sz w:val="18"/>
                <w:szCs w:val="18"/>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5408A2" w:rsidP="005408A2">
            <w:pPr>
              <w:jc w:val="right"/>
              <w:rPr>
                <w:sz w:val="18"/>
                <w:szCs w:val="18"/>
              </w:rPr>
            </w:pPr>
            <w:r>
              <w:rPr>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0712C7" w:rsidP="004219F3">
            <w:pPr>
              <w:jc w:val="right"/>
              <w:rPr>
                <w:sz w:val="18"/>
                <w:szCs w:val="18"/>
              </w:rPr>
            </w:pPr>
            <w:r w:rsidRPr="001377D9">
              <w:rPr>
                <w:sz w:val="18"/>
                <w:szCs w:val="18"/>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0712C7" w:rsidP="004219F3">
            <w:pPr>
              <w:jc w:val="right"/>
              <w:rPr>
                <w:sz w:val="18"/>
                <w:szCs w:val="18"/>
              </w:rPr>
            </w:pPr>
            <w:r w:rsidRPr="001377D9">
              <w:rPr>
                <w:sz w:val="18"/>
                <w:szCs w:val="18"/>
              </w:rPr>
              <w:t>1.000,0</w:t>
            </w:r>
          </w:p>
        </w:tc>
        <w:tc>
          <w:tcPr>
            <w:tcW w:w="708" w:type="dxa"/>
            <w:tcBorders>
              <w:top w:val="single" w:sz="4" w:space="0" w:color="auto"/>
              <w:left w:val="single" w:sz="4" w:space="0" w:color="auto"/>
              <w:bottom w:val="single" w:sz="4" w:space="0" w:color="auto"/>
              <w:right w:val="single" w:sz="4" w:space="0" w:color="auto"/>
            </w:tcBorders>
            <w:vAlign w:val="center"/>
          </w:tcPr>
          <w:p w:rsidR="000712C7" w:rsidRPr="001377D9" w:rsidRDefault="000712C7" w:rsidP="00CE1C84">
            <w:pPr>
              <w:jc w:val="right"/>
              <w:rPr>
                <w:sz w:val="18"/>
                <w:szCs w:val="18"/>
              </w:rPr>
            </w:pPr>
            <w:r w:rsidRPr="001377D9">
              <w:rPr>
                <w:sz w:val="18"/>
                <w:szCs w:val="18"/>
              </w:rPr>
              <w:t>100</w:t>
            </w:r>
            <w:r w:rsidR="00D44EF7">
              <w:rPr>
                <w:sz w:val="18"/>
                <w:szCs w:val="18"/>
              </w:rPr>
              <w:t>,0</w:t>
            </w:r>
          </w:p>
        </w:tc>
      </w:tr>
      <w:tr w:rsidR="000712C7" w:rsidRPr="001377D9" w:rsidTr="00647A7A">
        <w:trPr>
          <w:trHeight w:val="361"/>
        </w:trPr>
        <w:tc>
          <w:tcPr>
            <w:tcW w:w="3828" w:type="dxa"/>
            <w:tcBorders>
              <w:top w:val="single" w:sz="4" w:space="0" w:color="auto"/>
              <w:left w:val="single" w:sz="4" w:space="0" w:color="auto"/>
              <w:bottom w:val="single" w:sz="4" w:space="0" w:color="auto"/>
              <w:right w:val="single" w:sz="4" w:space="0" w:color="auto"/>
            </w:tcBorders>
            <w:vAlign w:val="center"/>
          </w:tcPr>
          <w:p w:rsidR="000712C7" w:rsidRPr="001377D9" w:rsidRDefault="000712C7" w:rsidP="00526429">
            <w:pPr>
              <w:rPr>
                <w:sz w:val="18"/>
                <w:szCs w:val="18"/>
              </w:rPr>
            </w:pPr>
            <w:r w:rsidRPr="001377D9">
              <w:rPr>
                <w:sz w:val="18"/>
                <w:szCs w:val="18"/>
              </w:rPr>
              <w:t>Změna stavu dlouhodobých prostředků na ba</w:t>
            </w:r>
            <w:r w:rsidRPr="001377D9">
              <w:rPr>
                <w:sz w:val="18"/>
                <w:szCs w:val="18"/>
              </w:rPr>
              <w:t>n</w:t>
            </w:r>
            <w:r w:rsidRPr="001377D9">
              <w:rPr>
                <w:sz w:val="18"/>
                <w:szCs w:val="18"/>
              </w:rPr>
              <w:t>kovních účtech</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0712C7" w:rsidP="00686289">
            <w:pPr>
              <w:jc w:val="right"/>
              <w:rPr>
                <w:sz w:val="18"/>
                <w:szCs w:val="18"/>
              </w:rPr>
            </w:pPr>
            <w:r w:rsidRPr="001377D9">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0712C7" w:rsidP="00686289">
            <w:pPr>
              <w:jc w:val="right"/>
              <w:rPr>
                <w:sz w:val="18"/>
                <w:szCs w:val="18"/>
              </w:rPr>
            </w:pPr>
            <w:r w:rsidRPr="001377D9">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1377D9" w:rsidRDefault="000712C7" w:rsidP="00686289">
            <w:pPr>
              <w:jc w:val="right"/>
              <w:rPr>
                <w:sz w:val="18"/>
                <w:szCs w:val="18"/>
              </w:rPr>
            </w:pPr>
            <w:r w:rsidRPr="001377D9">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0712C7" w:rsidRPr="00241974" w:rsidRDefault="00241974" w:rsidP="00ED7223">
            <w:pPr>
              <w:jc w:val="right"/>
              <w:rPr>
                <w:sz w:val="18"/>
                <w:szCs w:val="18"/>
              </w:rPr>
            </w:pPr>
            <w:r w:rsidRPr="00241974">
              <w:rPr>
                <w:sz w:val="18"/>
                <w:szCs w:val="18"/>
              </w:rPr>
              <w:t>102</w:t>
            </w:r>
            <w:r w:rsidR="00ED7223">
              <w:rPr>
                <w:sz w:val="18"/>
                <w:szCs w:val="18"/>
              </w:rPr>
              <w:t>.</w:t>
            </w:r>
            <w:r w:rsidRPr="00241974">
              <w:rPr>
                <w:sz w:val="18"/>
                <w:szCs w:val="18"/>
              </w:rPr>
              <w:t>301,3</w:t>
            </w:r>
          </w:p>
        </w:tc>
        <w:tc>
          <w:tcPr>
            <w:tcW w:w="708" w:type="dxa"/>
            <w:tcBorders>
              <w:top w:val="single" w:sz="4" w:space="0" w:color="auto"/>
              <w:left w:val="single" w:sz="4" w:space="0" w:color="auto"/>
              <w:bottom w:val="single" w:sz="4" w:space="0" w:color="auto"/>
              <w:right w:val="single" w:sz="4" w:space="0" w:color="auto"/>
            </w:tcBorders>
            <w:vAlign w:val="center"/>
          </w:tcPr>
          <w:p w:rsidR="000712C7" w:rsidRPr="001377D9" w:rsidRDefault="000712C7" w:rsidP="00CE1C84">
            <w:pPr>
              <w:jc w:val="right"/>
              <w:rPr>
                <w:sz w:val="18"/>
                <w:szCs w:val="18"/>
              </w:rPr>
            </w:pPr>
          </w:p>
        </w:tc>
      </w:tr>
      <w:tr w:rsidR="00241974" w:rsidRPr="001377D9" w:rsidTr="00647A7A">
        <w:trPr>
          <w:trHeight w:val="361"/>
        </w:trPr>
        <w:tc>
          <w:tcPr>
            <w:tcW w:w="3828" w:type="dxa"/>
            <w:tcBorders>
              <w:top w:val="single" w:sz="4" w:space="0" w:color="auto"/>
              <w:left w:val="single" w:sz="4" w:space="0" w:color="auto"/>
              <w:bottom w:val="single" w:sz="4" w:space="0" w:color="auto"/>
              <w:right w:val="single" w:sz="4" w:space="0" w:color="auto"/>
            </w:tcBorders>
            <w:vAlign w:val="center"/>
          </w:tcPr>
          <w:p w:rsidR="00241974" w:rsidRPr="001377D9" w:rsidRDefault="00241974" w:rsidP="00F013D1">
            <w:pPr>
              <w:rPr>
                <w:sz w:val="18"/>
                <w:szCs w:val="18"/>
              </w:rPr>
            </w:pPr>
            <w:r w:rsidRPr="001377D9">
              <w:rPr>
                <w:sz w:val="18"/>
                <w:szCs w:val="18"/>
              </w:rPr>
              <w:t>Operace z pen</w:t>
            </w:r>
            <w:r w:rsidR="00F013D1">
              <w:rPr>
                <w:sz w:val="18"/>
                <w:szCs w:val="18"/>
              </w:rPr>
              <w:t>ěžních</w:t>
            </w:r>
            <w:r w:rsidRPr="001377D9">
              <w:rPr>
                <w:sz w:val="18"/>
                <w:szCs w:val="18"/>
              </w:rPr>
              <w:t xml:space="preserve"> účtů nemající char</w:t>
            </w:r>
            <w:r>
              <w:rPr>
                <w:sz w:val="18"/>
                <w:szCs w:val="18"/>
              </w:rPr>
              <w:t>akter příjmů a výdajů</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1377D9" w:rsidRDefault="00241974" w:rsidP="0018416B">
            <w:pPr>
              <w:jc w:val="right"/>
              <w:rPr>
                <w:sz w:val="18"/>
                <w:szCs w:val="18"/>
              </w:rPr>
            </w:pPr>
            <w:r w:rsidRPr="001377D9">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1377D9" w:rsidRDefault="00241974" w:rsidP="0018416B">
            <w:pPr>
              <w:jc w:val="right"/>
              <w:rPr>
                <w:sz w:val="18"/>
                <w:szCs w:val="18"/>
              </w:rPr>
            </w:pPr>
            <w:r w:rsidRPr="001377D9">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1377D9" w:rsidRDefault="00241974" w:rsidP="0018416B">
            <w:pPr>
              <w:jc w:val="right"/>
              <w:rPr>
                <w:sz w:val="18"/>
                <w:szCs w:val="18"/>
              </w:rPr>
            </w:pPr>
            <w:r w:rsidRPr="001377D9">
              <w:rPr>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241974" w:rsidRDefault="00241974" w:rsidP="00A25816">
            <w:pPr>
              <w:jc w:val="right"/>
              <w:rPr>
                <w:sz w:val="18"/>
                <w:szCs w:val="18"/>
              </w:rPr>
            </w:pPr>
            <w:r w:rsidRPr="00241974">
              <w:rPr>
                <w:sz w:val="18"/>
                <w:szCs w:val="18"/>
              </w:rPr>
              <w:t>67,</w:t>
            </w:r>
            <w:r w:rsidR="00A25816">
              <w:rPr>
                <w:sz w:val="18"/>
                <w:szCs w:val="18"/>
              </w:rPr>
              <w:t>8</w:t>
            </w:r>
          </w:p>
        </w:tc>
        <w:tc>
          <w:tcPr>
            <w:tcW w:w="708" w:type="dxa"/>
            <w:tcBorders>
              <w:top w:val="single" w:sz="4" w:space="0" w:color="auto"/>
              <w:left w:val="single" w:sz="4" w:space="0" w:color="auto"/>
              <w:bottom w:val="single" w:sz="4" w:space="0" w:color="auto"/>
              <w:right w:val="single" w:sz="4" w:space="0" w:color="auto"/>
            </w:tcBorders>
            <w:vAlign w:val="center"/>
          </w:tcPr>
          <w:p w:rsidR="00241974" w:rsidRPr="001377D9" w:rsidRDefault="00241974" w:rsidP="00CE1C84">
            <w:pPr>
              <w:jc w:val="right"/>
              <w:rPr>
                <w:sz w:val="18"/>
                <w:szCs w:val="18"/>
              </w:rPr>
            </w:pPr>
          </w:p>
        </w:tc>
      </w:tr>
      <w:tr w:rsidR="00241974" w:rsidRPr="001377D9" w:rsidTr="00647A7A">
        <w:trPr>
          <w:trHeight w:val="405"/>
        </w:trPr>
        <w:tc>
          <w:tcPr>
            <w:tcW w:w="3828" w:type="dxa"/>
            <w:tcBorders>
              <w:top w:val="single" w:sz="4" w:space="0" w:color="auto"/>
              <w:left w:val="single" w:sz="4" w:space="0" w:color="auto"/>
              <w:bottom w:val="single" w:sz="4" w:space="0" w:color="auto"/>
              <w:right w:val="single" w:sz="4" w:space="0" w:color="auto"/>
            </w:tcBorders>
            <w:vAlign w:val="center"/>
          </w:tcPr>
          <w:p w:rsidR="00241974" w:rsidRPr="001377D9" w:rsidRDefault="00241974" w:rsidP="000954DE">
            <w:pPr>
              <w:rPr>
                <w:b/>
                <w:sz w:val="18"/>
                <w:szCs w:val="18"/>
              </w:rPr>
            </w:pPr>
            <w:r w:rsidRPr="001377D9">
              <w:rPr>
                <w:b/>
                <w:sz w:val="18"/>
                <w:szCs w:val="18"/>
              </w:rPr>
              <w:t>Třída 8 - Financování celkem</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1377D9" w:rsidRDefault="00241974" w:rsidP="00ED7223">
            <w:pPr>
              <w:jc w:val="right"/>
              <w:rPr>
                <w:b/>
                <w:sz w:val="18"/>
                <w:szCs w:val="18"/>
              </w:rPr>
            </w:pPr>
            <w:r w:rsidRPr="001377D9">
              <w:rPr>
                <w:b/>
                <w:sz w:val="18"/>
                <w:szCs w:val="18"/>
              </w:rPr>
              <w:t>1</w:t>
            </w:r>
            <w:r>
              <w:rPr>
                <w:b/>
                <w:sz w:val="18"/>
                <w:szCs w:val="18"/>
              </w:rPr>
              <w:t>30</w:t>
            </w:r>
            <w:r w:rsidR="00ED7223">
              <w:rPr>
                <w:b/>
                <w:sz w:val="18"/>
                <w:szCs w:val="18"/>
              </w:rPr>
              <w:t>.</w:t>
            </w:r>
            <w:r>
              <w:rPr>
                <w:b/>
                <w:sz w:val="18"/>
                <w:szCs w:val="18"/>
              </w:rPr>
              <w:t>907,5</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1377D9" w:rsidRDefault="004B0783" w:rsidP="005408A2">
            <w:pPr>
              <w:jc w:val="right"/>
              <w:rPr>
                <w:b/>
                <w:sz w:val="18"/>
                <w:szCs w:val="18"/>
              </w:rPr>
            </w:pPr>
            <w:r>
              <w:rPr>
                <w:b/>
                <w:sz w:val="18"/>
                <w:szCs w:val="18"/>
              </w:rPr>
              <w:t>-</w:t>
            </w:r>
            <w:r w:rsidR="00ED7223">
              <w:rPr>
                <w:b/>
                <w:sz w:val="18"/>
                <w:szCs w:val="18"/>
              </w:rPr>
              <w:t>151.</w:t>
            </w:r>
            <w:r>
              <w:rPr>
                <w:b/>
                <w:sz w:val="18"/>
                <w:szCs w:val="18"/>
              </w:rPr>
              <w:t>510,4</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1377D9" w:rsidRDefault="00241974" w:rsidP="00ED7223">
            <w:pPr>
              <w:jc w:val="right"/>
              <w:rPr>
                <w:b/>
                <w:sz w:val="18"/>
                <w:szCs w:val="18"/>
              </w:rPr>
            </w:pPr>
            <w:r w:rsidRPr="001377D9">
              <w:rPr>
                <w:b/>
                <w:sz w:val="18"/>
                <w:szCs w:val="18"/>
              </w:rPr>
              <w:t>-</w:t>
            </w:r>
            <w:r>
              <w:rPr>
                <w:b/>
                <w:sz w:val="18"/>
                <w:szCs w:val="18"/>
              </w:rPr>
              <w:t>20</w:t>
            </w:r>
            <w:r w:rsidR="00ED7223">
              <w:rPr>
                <w:b/>
                <w:sz w:val="18"/>
                <w:szCs w:val="18"/>
              </w:rPr>
              <w:t>.</w:t>
            </w:r>
            <w:r>
              <w:rPr>
                <w:b/>
                <w:sz w:val="18"/>
                <w:szCs w:val="18"/>
              </w:rPr>
              <w:t>602,9</w:t>
            </w:r>
          </w:p>
        </w:tc>
        <w:tc>
          <w:tcPr>
            <w:tcW w:w="1134" w:type="dxa"/>
            <w:tcBorders>
              <w:top w:val="single" w:sz="4" w:space="0" w:color="auto"/>
              <w:left w:val="single" w:sz="4" w:space="0" w:color="auto"/>
              <w:bottom w:val="single" w:sz="4" w:space="0" w:color="auto"/>
              <w:right w:val="single" w:sz="4" w:space="0" w:color="auto"/>
            </w:tcBorders>
            <w:vAlign w:val="center"/>
          </w:tcPr>
          <w:p w:rsidR="00241974" w:rsidRPr="00241974" w:rsidRDefault="00241974" w:rsidP="00ED7223">
            <w:pPr>
              <w:jc w:val="right"/>
              <w:rPr>
                <w:b/>
                <w:sz w:val="18"/>
                <w:szCs w:val="18"/>
              </w:rPr>
            </w:pPr>
            <w:r w:rsidRPr="00241974">
              <w:rPr>
                <w:b/>
                <w:sz w:val="18"/>
                <w:szCs w:val="18"/>
              </w:rPr>
              <w:t>-110</w:t>
            </w:r>
            <w:r w:rsidR="00ED7223">
              <w:rPr>
                <w:b/>
                <w:sz w:val="18"/>
                <w:szCs w:val="18"/>
              </w:rPr>
              <w:t>.</w:t>
            </w:r>
            <w:r w:rsidRPr="00241974">
              <w:rPr>
                <w:b/>
                <w:sz w:val="18"/>
                <w:szCs w:val="18"/>
              </w:rPr>
              <w:t>266,0</w:t>
            </w:r>
          </w:p>
        </w:tc>
        <w:tc>
          <w:tcPr>
            <w:tcW w:w="708" w:type="dxa"/>
            <w:tcBorders>
              <w:top w:val="single" w:sz="4" w:space="0" w:color="auto"/>
              <w:left w:val="single" w:sz="4" w:space="0" w:color="auto"/>
              <w:bottom w:val="single" w:sz="4" w:space="0" w:color="auto"/>
              <w:right w:val="single" w:sz="4" w:space="0" w:color="auto"/>
            </w:tcBorders>
            <w:vAlign w:val="center"/>
          </w:tcPr>
          <w:p w:rsidR="00241974" w:rsidRPr="001377D9" w:rsidRDefault="00241974" w:rsidP="00CE1C84">
            <w:pPr>
              <w:jc w:val="right"/>
              <w:rPr>
                <w:b/>
                <w:sz w:val="18"/>
                <w:szCs w:val="18"/>
              </w:rPr>
            </w:pPr>
          </w:p>
        </w:tc>
      </w:tr>
      <w:tr w:rsidR="00241974" w:rsidRPr="001377D9" w:rsidTr="005E2BA1">
        <w:trPr>
          <w:trHeight w:val="466"/>
        </w:trPr>
        <w:tc>
          <w:tcPr>
            <w:tcW w:w="3828" w:type="dxa"/>
            <w:tcBorders>
              <w:top w:val="single" w:sz="4" w:space="0" w:color="auto"/>
              <w:left w:val="single" w:sz="4" w:space="0" w:color="auto"/>
              <w:bottom w:val="single" w:sz="4" w:space="0" w:color="auto"/>
              <w:right w:val="single" w:sz="4" w:space="0" w:color="auto"/>
            </w:tcBorders>
            <w:shd w:val="clear" w:color="auto" w:fill="EEECE1"/>
            <w:vAlign w:val="center"/>
          </w:tcPr>
          <w:p w:rsidR="00241974" w:rsidRPr="001377D9" w:rsidRDefault="00241974" w:rsidP="000954DE">
            <w:pPr>
              <w:rPr>
                <w:b/>
                <w:sz w:val="18"/>
                <w:szCs w:val="18"/>
              </w:rPr>
            </w:pPr>
            <w:r w:rsidRPr="001377D9">
              <w:rPr>
                <w:b/>
                <w:sz w:val="18"/>
                <w:szCs w:val="18"/>
              </w:rPr>
              <w:t>Přebytek (-)</w:t>
            </w:r>
          </w:p>
          <w:p w:rsidR="00241974" w:rsidRPr="001377D9" w:rsidRDefault="00241974" w:rsidP="00164DD3">
            <w:pPr>
              <w:rPr>
                <w:b/>
                <w:sz w:val="18"/>
                <w:szCs w:val="18"/>
              </w:rPr>
            </w:pPr>
            <w:r w:rsidRPr="001377D9">
              <w:rPr>
                <w:b/>
                <w:sz w:val="18"/>
                <w:szCs w:val="18"/>
              </w:rPr>
              <w:t>Ztráta (+)</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241974" w:rsidRPr="001377D9" w:rsidRDefault="00241974" w:rsidP="00CE1C84">
            <w:pPr>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241974" w:rsidRPr="001377D9" w:rsidRDefault="00241974" w:rsidP="00CE1C84">
            <w:pPr>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241974" w:rsidRPr="001377D9" w:rsidRDefault="00241974" w:rsidP="00CE1C84">
            <w:pPr>
              <w:jc w:val="right"/>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241974" w:rsidRPr="001377D9" w:rsidRDefault="00C06907" w:rsidP="00ED7223">
            <w:pPr>
              <w:jc w:val="right"/>
              <w:rPr>
                <w:b/>
                <w:sz w:val="18"/>
                <w:szCs w:val="18"/>
              </w:rPr>
            </w:pPr>
            <w:r>
              <w:rPr>
                <w:b/>
                <w:sz w:val="18"/>
                <w:szCs w:val="18"/>
              </w:rPr>
              <w:t>-110</w:t>
            </w:r>
            <w:r w:rsidR="00ED7223">
              <w:rPr>
                <w:b/>
                <w:sz w:val="18"/>
                <w:szCs w:val="18"/>
              </w:rPr>
              <w:t>.</w:t>
            </w:r>
            <w:r>
              <w:rPr>
                <w:b/>
                <w:sz w:val="18"/>
                <w:szCs w:val="18"/>
              </w:rPr>
              <w:t>266,0</w:t>
            </w:r>
          </w:p>
        </w:tc>
        <w:tc>
          <w:tcPr>
            <w:tcW w:w="708" w:type="dxa"/>
            <w:tcBorders>
              <w:top w:val="single" w:sz="4" w:space="0" w:color="auto"/>
              <w:left w:val="single" w:sz="4" w:space="0" w:color="auto"/>
              <w:bottom w:val="single" w:sz="4" w:space="0" w:color="auto"/>
              <w:right w:val="single" w:sz="4" w:space="0" w:color="auto"/>
            </w:tcBorders>
            <w:shd w:val="clear" w:color="auto" w:fill="EEECE1"/>
            <w:vAlign w:val="center"/>
          </w:tcPr>
          <w:p w:rsidR="00241974" w:rsidRPr="001377D9" w:rsidRDefault="00241974" w:rsidP="00CE1C84">
            <w:pPr>
              <w:jc w:val="right"/>
              <w:rPr>
                <w:b/>
                <w:sz w:val="18"/>
                <w:szCs w:val="18"/>
              </w:rPr>
            </w:pPr>
          </w:p>
        </w:tc>
      </w:tr>
    </w:tbl>
    <w:p w:rsidR="00924965" w:rsidRDefault="00924965" w:rsidP="009A0463">
      <w:pPr>
        <w:jc w:val="both"/>
        <w:rPr>
          <w:sz w:val="22"/>
          <w:szCs w:val="22"/>
        </w:rPr>
      </w:pPr>
    </w:p>
    <w:p w:rsidR="00F4247E" w:rsidRDefault="00B519E2" w:rsidP="009A0463">
      <w:pPr>
        <w:jc w:val="both"/>
        <w:rPr>
          <w:sz w:val="22"/>
          <w:szCs w:val="22"/>
        </w:rPr>
      </w:pPr>
      <w:r w:rsidRPr="00F20418">
        <w:rPr>
          <w:sz w:val="22"/>
          <w:szCs w:val="22"/>
        </w:rPr>
        <w:t>Údaje o plnění rozpočtu příjmů a výdajů a o dalších finančních operacích v plném členění dle ro</w:t>
      </w:r>
      <w:r w:rsidRPr="00F20418">
        <w:rPr>
          <w:sz w:val="22"/>
          <w:szCs w:val="22"/>
        </w:rPr>
        <w:t>z</w:t>
      </w:r>
      <w:r w:rsidRPr="00F20418">
        <w:rPr>
          <w:sz w:val="22"/>
          <w:szCs w:val="22"/>
        </w:rPr>
        <w:t xml:space="preserve">počtové skladby jsou k nahlédnutí na </w:t>
      </w:r>
      <w:r w:rsidR="00DA737C" w:rsidRPr="00F20418">
        <w:rPr>
          <w:sz w:val="22"/>
          <w:szCs w:val="22"/>
        </w:rPr>
        <w:t xml:space="preserve">ÚMČ, odboru ekonomickém </w:t>
      </w:r>
      <w:r w:rsidRPr="00F20418">
        <w:rPr>
          <w:sz w:val="22"/>
          <w:szCs w:val="22"/>
        </w:rPr>
        <w:t>(výkaz Fin 2 – 12 pro hodnocení plnění rozpočtu územních samosprávných celků).</w:t>
      </w:r>
      <w:r w:rsidR="009A0463">
        <w:rPr>
          <w:sz w:val="22"/>
          <w:szCs w:val="22"/>
        </w:rPr>
        <w:t xml:space="preserve"> Podrobné komentáře jednotlivých správců ro</w:t>
      </w:r>
      <w:r w:rsidR="009A0463">
        <w:rPr>
          <w:sz w:val="22"/>
          <w:szCs w:val="22"/>
        </w:rPr>
        <w:t>z</w:t>
      </w:r>
      <w:r w:rsidR="009A0463">
        <w:rPr>
          <w:sz w:val="22"/>
          <w:szCs w:val="22"/>
        </w:rPr>
        <w:t>počtových podkapitol o dosažených příjmech a čerpání rozpočtu jsou k dispozici na odboru ekon</w:t>
      </w:r>
      <w:r w:rsidR="009A0463">
        <w:rPr>
          <w:sz w:val="22"/>
          <w:szCs w:val="22"/>
        </w:rPr>
        <w:t>o</w:t>
      </w:r>
      <w:r w:rsidR="009A0463">
        <w:rPr>
          <w:sz w:val="22"/>
          <w:szCs w:val="22"/>
        </w:rPr>
        <w:t>mickém.</w:t>
      </w:r>
    </w:p>
    <w:p w:rsidR="006E46CC" w:rsidRPr="009A6AE9" w:rsidRDefault="00F4247E" w:rsidP="00F4247E">
      <w:pPr>
        <w:pStyle w:val="Nadpis3"/>
      </w:pPr>
      <w:r>
        <w:rPr>
          <w:sz w:val="22"/>
          <w:szCs w:val="22"/>
        </w:rPr>
        <w:br w:type="page"/>
      </w:r>
      <w:bookmarkStart w:id="10" w:name="_Toc385875197"/>
      <w:r w:rsidR="006E46CC" w:rsidRPr="005963C5">
        <w:lastRenderedPageBreak/>
        <w:t>P</w:t>
      </w:r>
      <w:r w:rsidR="00F07880">
        <w:t>říjmy</w:t>
      </w:r>
      <w:bookmarkEnd w:id="10"/>
    </w:p>
    <w:p w:rsidR="00E62C3B" w:rsidRDefault="00502A89" w:rsidP="000920D2">
      <w:pPr>
        <w:jc w:val="both"/>
        <w:rPr>
          <w:b/>
          <w:sz w:val="22"/>
          <w:szCs w:val="22"/>
        </w:rPr>
      </w:pPr>
      <w:r>
        <w:rPr>
          <w:sz w:val="22"/>
          <w:szCs w:val="22"/>
        </w:rPr>
        <w:t>Příjmová stránka rozpočtu byla v průběhu roku 2013 navýšena o celkovou</w:t>
      </w:r>
      <w:r w:rsidR="00FC59B8">
        <w:rPr>
          <w:sz w:val="22"/>
          <w:szCs w:val="22"/>
        </w:rPr>
        <w:t xml:space="preserve"> částku 239.013,1 </w:t>
      </w:r>
      <w:r w:rsidR="005E1108">
        <w:rPr>
          <w:sz w:val="22"/>
          <w:szCs w:val="22"/>
        </w:rPr>
        <w:t>tis. Kč</w:t>
      </w:r>
      <w:r w:rsidR="00FC59B8">
        <w:rPr>
          <w:sz w:val="22"/>
          <w:szCs w:val="22"/>
        </w:rPr>
        <w:t>. Navýšení rozpočtu ovlivnily přijaté účelové neinvestiční transfery ze státního rozpočtu, rozpočtu hl.</w:t>
      </w:r>
      <w:r w:rsidR="00B61CB9">
        <w:rPr>
          <w:sz w:val="22"/>
          <w:szCs w:val="22"/>
        </w:rPr>
        <w:t xml:space="preserve"> </w:t>
      </w:r>
      <w:r w:rsidR="00FC59B8">
        <w:rPr>
          <w:sz w:val="22"/>
          <w:szCs w:val="22"/>
        </w:rPr>
        <w:t>m. Prahy</w:t>
      </w:r>
      <w:r w:rsidR="00B61CB9">
        <w:rPr>
          <w:sz w:val="22"/>
          <w:szCs w:val="22"/>
        </w:rPr>
        <w:t xml:space="preserve"> a </w:t>
      </w:r>
      <w:r w:rsidR="00FC59B8">
        <w:rPr>
          <w:sz w:val="22"/>
          <w:szCs w:val="22"/>
        </w:rPr>
        <w:t>převod části výsledku hospodaření z minulých účetních období ve výši 100 mil.</w:t>
      </w:r>
      <w:r w:rsidR="005E1108">
        <w:rPr>
          <w:sz w:val="22"/>
          <w:szCs w:val="22"/>
        </w:rPr>
        <w:t> Kč</w:t>
      </w:r>
      <w:r w:rsidR="00FC59B8">
        <w:rPr>
          <w:sz w:val="22"/>
          <w:szCs w:val="22"/>
        </w:rPr>
        <w:t xml:space="preserve"> z účtu zdaňované činnosti na krytí budoucích plánovaných investičních projektů. </w:t>
      </w:r>
      <w:r w:rsidR="000920D2" w:rsidRPr="00E62C3B">
        <w:rPr>
          <w:sz w:val="22"/>
          <w:szCs w:val="22"/>
        </w:rPr>
        <w:t>Příjmy byly inkasovány v celkové výši 791.610.090,28</w:t>
      </w:r>
      <w:r w:rsidR="005E1108">
        <w:rPr>
          <w:sz w:val="22"/>
          <w:szCs w:val="22"/>
        </w:rPr>
        <w:t> Kč</w:t>
      </w:r>
      <w:r w:rsidR="000920D2" w:rsidRPr="00E62C3B">
        <w:rPr>
          <w:sz w:val="22"/>
          <w:szCs w:val="22"/>
        </w:rPr>
        <w:t>, tj. plnění na 96,</w:t>
      </w:r>
      <w:r w:rsidR="00B94BDA">
        <w:rPr>
          <w:sz w:val="22"/>
          <w:szCs w:val="22"/>
        </w:rPr>
        <w:t>5</w:t>
      </w:r>
      <w:r w:rsidR="000920D2" w:rsidRPr="00E62C3B">
        <w:rPr>
          <w:sz w:val="22"/>
          <w:szCs w:val="22"/>
        </w:rPr>
        <w:t> %</w:t>
      </w:r>
      <w:r w:rsidR="00FC59B8">
        <w:rPr>
          <w:sz w:val="22"/>
          <w:szCs w:val="22"/>
        </w:rPr>
        <w:t>.</w:t>
      </w:r>
    </w:p>
    <w:p w:rsidR="00502A89" w:rsidRDefault="00502A89" w:rsidP="000920D2">
      <w:pPr>
        <w:jc w:val="both"/>
        <w:rPr>
          <w:b/>
          <w:sz w:val="22"/>
          <w:szCs w:val="22"/>
        </w:rPr>
      </w:pPr>
    </w:p>
    <w:p w:rsidR="003E5EAD" w:rsidRPr="00956845" w:rsidRDefault="000920D2" w:rsidP="00956845">
      <w:pPr>
        <w:pStyle w:val="Nadpis5"/>
      </w:pPr>
      <w:bookmarkStart w:id="11" w:name="_Toc385875198"/>
      <w:r w:rsidRPr="00BC34DA">
        <w:t>Třída 1</w:t>
      </w:r>
      <w:r w:rsidR="00956845">
        <w:t xml:space="preserve"> </w:t>
      </w:r>
      <w:r w:rsidR="0004552C">
        <w:t>D</w:t>
      </w:r>
      <w:r w:rsidR="00956845">
        <w:t>aňové příjmy</w:t>
      </w:r>
      <w:bookmarkEnd w:id="11"/>
    </w:p>
    <w:p w:rsidR="000920D2" w:rsidRPr="003E5EAD" w:rsidRDefault="000920D2" w:rsidP="000920D2">
      <w:pPr>
        <w:jc w:val="both"/>
        <w:rPr>
          <w:b/>
          <w:sz w:val="22"/>
          <w:szCs w:val="22"/>
        </w:rPr>
      </w:pPr>
      <w:r w:rsidRPr="00956845">
        <w:rPr>
          <w:sz w:val="22"/>
          <w:szCs w:val="22"/>
        </w:rPr>
        <w:t>Daňové příjmy</w:t>
      </w:r>
      <w:r w:rsidRPr="00BC34DA">
        <w:rPr>
          <w:sz w:val="22"/>
          <w:szCs w:val="22"/>
          <w:u w:val="single"/>
        </w:rPr>
        <w:t xml:space="preserve"> </w:t>
      </w:r>
      <w:r w:rsidRPr="00BC34DA">
        <w:rPr>
          <w:sz w:val="22"/>
          <w:szCs w:val="22"/>
        </w:rPr>
        <w:t xml:space="preserve">byly plánovány v celkové částce 77.020 </w:t>
      </w:r>
      <w:r w:rsidR="005E1108">
        <w:rPr>
          <w:sz w:val="22"/>
          <w:szCs w:val="22"/>
        </w:rPr>
        <w:t>tis. Kč</w:t>
      </w:r>
      <w:r w:rsidRPr="00BC34DA">
        <w:rPr>
          <w:sz w:val="22"/>
          <w:szCs w:val="22"/>
        </w:rPr>
        <w:t xml:space="preserve">, upravené na 77.486 </w:t>
      </w:r>
      <w:r w:rsidR="005E1108">
        <w:rPr>
          <w:sz w:val="22"/>
          <w:szCs w:val="22"/>
        </w:rPr>
        <w:t>tis. Kč</w:t>
      </w:r>
      <w:r w:rsidRPr="00BC34DA">
        <w:rPr>
          <w:sz w:val="22"/>
          <w:szCs w:val="22"/>
        </w:rPr>
        <w:t xml:space="preserve"> a inkas</w:t>
      </w:r>
      <w:r w:rsidRPr="00BC34DA">
        <w:rPr>
          <w:sz w:val="22"/>
          <w:szCs w:val="22"/>
        </w:rPr>
        <w:t>o</w:t>
      </w:r>
      <w:r w:rsidRPr="00BC34DA">
        <w:rPr>
          <w:sz w:val="22"/>
          <w:szCs w:val="22"/>
        </w:rPr>
        <w:t xml:space="preserve">vány v celkové výši 75.770 </w:t>
      </w:r>
      <w:r w:rsidR="005E1108">
        <w:rPr>
          <w:sz w:val="22"/>
          <w:szCs w:val="22"/>
        </w:rPr>
        <w:t>tis. Kč</w:t>
      </w:r>
      <w:r w:rsidRPr="00BC34DA">
        <w:rPr>
          <w:sz w:val="22"/>
          <w:szCs w:val="22"/>
        </w:rPr>
        <w:t>, tj. plnění na 97,</w:t>
      </w:r>
      <w:r w:rsidR="00B94BDA">
        <w:rPr>
          <w:sz w:val="22"/>
          <w:szCs w:val="22"/>
        </w:rPr>
        <w:t>8</w:t>
      </w:r>
      <w:r w:rsidR="00D8636C">
        <w:rPr>
          <w:sz w:val="22"/>
          <w:szCs w:val="22"/>
        </w:rPr>
        <w:t xml:space="preserve"> </w:t>
      </w:r>
      <w:r w:rsidRPr="00BC34DA">
        <w:rPr>
          <w:sz w:val="22"/>
          <w:szCs w:val="22"/>
        </w:rPr>
        <w:t>%. Vyšší procento plnění vykazují místní popla</w:t>
      </w:r>
      <w:r w:rsidRPr="00BC34DA">
        <w:rPr>
          <w:sz w:val="22"/>
          <w:szCs w:val="22"/>
        </w:rPr>
        <w:t>t</w:t>
      </w:r>
      <w:r w:rsidRPr="00BC34DA">
        <w:rPr>
          <w:sz w:val="22"/>
          <w:szCs w:val="22"/>
        </w:rPr>
        <w:t>ky z ubytovací kapacity – 115,</w:t>
      </w:r>
      <w:r w:rsidR="00B94BDA">
        <w:rPr>
          <w:sz w:val="22"/>
          <w:szCs w:val="22"/>
        </w:rPr>
        <w:t>6</w:t>
      </w:r>
      <w:r w:rsidRPr="00BC34DA">
        <w:rPr>
          <w:sz w:val="22"/>
          <w:szCs w:val="22"/>
        </w:rPr>
        <w:t xml:space="preserve"> % (ovlivněno zejména počtem návštěvníků Prahy a využitím chara</w:t>
      </w:r>
      <w:r w:rsidRPr="00BC34DA">
        <w:rPr>
          <w:sz w:val="22"/>
          <w:szCs w:val="22"/>
        </w:rPr>
        <w:t>k</w:t>
      </w:r>
      <w:r w:rsidRPr="00BC34DA">
        <w:rPr>
          <w:sz w:val="22"/>
          <w:szCs w:val="22"/>
        </w:rPr>
        <w:t>teru ubytování), ze vstupného (ovlivněno počtem pořádaných akcí), za užívání veřejného prostranství</w:t>
      </w:r>
      <w:r w:rsidR="00AA76C9">
        <w:rPr>
          <w:sz w:val="22"/>
          <w:szCs w:val="22"/>
        </w:rPr>
        <w:t xml:space="preserve"> </w:t>
      </w:r>
      <w:r w:rsidRPr="00BC34DA">
        <w:rPr>
          <w:sz w:val="22"/>
          <w:szCs w:val="22"/>
        </w:rPr>
        <w:t>- 104,</w:t>
      </w:r>
      <w:r w:rsidR="00B94BDA">
        <w:rPr>
          <w:sz w:val="22"/>
          <w:szCs w:val="22"/>
        </w:rPr>
        <w:t>5</w:t>
      </w:r>
      <w:r w:rsidR="00D8636C">
        <w:rPr>
          <w:sz w:val="22"/>
          <w:szCs w:val="22"/>
        </w:rPr>
        <w:t xml:space="preserve"> %, kde je </w:t>
      </w:r>
      <w:r w:rsidRPr="00BC34DA">
        <w:rPr>
          <w:sz w:val="22"/>
          <w:szCs w:val="22"/>
        </w:rPr>
        <w:t>plnění závislé na počtu, velikosti a charakteru</w:t>
      </w:r>
      <w:r w:rsidR="00D8636C">
        <w:rPr>
          <w:sz w:val="22"/>
          <w:szCs w:val="22"/>
        </w:rPr>
        <w:t xml:space="preserve"> užívání veřejného prostranství</w:t>
      </w:r>
      <w:r w:rsidRPr="00BC34DA">
        <w:rPr>
          <w:sz w:val="22"/>
          <w:szCs w:val="22"/>
        </w:rPr>
        <w:t>.</w:t>
      </w:r>
    </w:p>
    <w:p w:rsidR="00454DE6" w:rsidRDefault="00454DE6" w:rsidP="000920D2">
      <w:pPr>
        <w:jc w:val="both"/>
        <w:rPr>
          <w:sz w:val="22"/>
          <w:szCs w:val="22"/>
        </w:rPr>
      </w:pPr>
    </w:p>
    <w:p w:rsidR="00505CED" w:rsidRPr="00BC34DA" w:rsidRDefault="00505CED" w:rsidP="00505CED">
      <w:pPr>
        <w:jc w:val="both"/>
        <w:rPr>
          <w:sz w:val="22"/>
          <w:szCs w:val="22"/>
        </w:rPr>
      </w:pPr>
      <w:r w:rsidRPr="00BC34DA">
        <w:rPr>
          <w:sz w:val="22"/>
          <w:szCs w:val="22"/>
        </w:rPr>
        <w:t>Výnos daně z</w:t>
      </w:r>
      <w:r>
        <w:rPr>
          <w:sz w:val="22"/>
          <w:szCs w:val="22"/>
        </w:rPr>
        <w:t> </w:t>
      </w:r>
      <w:r w:rsidRPr="00BC34DA">
        <w:rPr>
          <w:sz w:val="22"/>
          <w:szCs w:val="22"/>
        </w:rPr>
        <w:t>nemovitost</w:t>
      </w:r>
      <w:r w:rsidR="006418EB">
        <w:rPr>
          <w:sz w:val="22"/>
          <w:szCs w:val="22"/>
        </w:rPr>
        <w:t>í</w:t>
      </w:r>
      <w:r>
        <w:rPr>
          <w:sz w:val="22"/>
          <w:szCs w:val="22"/>
        </w:rPr>
        <w:t xml:space="preserve"> tvoří více jak polovinu vlastních příjmů a </w:t>
      </w:r>
      <w:r w:rsidRPr="00BC34DA">
        <w:rPr>
          <w:sz w:val="22"/>
          <w:szCs w:val="22"/>
        </w:rPr>
        <w:t>byl za sledované období přijat do příjmů rozpočtu v celkové výši 52.029,</w:t>
      </w:r>
      <w:r>
        <w:rPr>
          <w:sz w:val="22"/>
          <w:szCs w:val="22"/>
        </w:rPr>
        <w:t>3 </w:t>
      </w:r>
      <w:r w:rsidR="005E1108">
        <w:rPr>
          <w:sz w:val="22"/>
          <w:szCs w:val="22"/>
        </w:rPr>
        <w:t>tis. Kč</w:t>
      </w:r>
      <w:r w:rsidRPr="00BC34DA">
        <w:rPr>
          <w:sz w:val="22"/>
          <w:szCs w:val="22"/>
        </w:rPr>
        <w:t>, tj. plnění na 96,</w:t>
      </w:r>
      <w:r>
        <w:rPr>
          <w:sz w:val="22"/>
          <w:szCs w:val="22"/>
        </w:rPr>
        <w:t>4</w:t>
      </w:r>
      <w:r w:rsidRPr="00BC34DA">
        <w:rPr>
          <w:sz w:val="22"/>
          <w:szCs w:val="22"/>
        </w:rPr>
        <w:t xml:space="preserve"> %. </w:t>
      </w:r>
      <w:r w:rsidR="00052366">
        <w:rPr>
          <w:sz w:val="22"/>
          <w:szCs w:val="22"/>
        </w:rPr>
        <w:t xml:space="preserve">Významnou příjmovou položkou jsou též správní poplatky. Zde bylo inkasováno 10.805,8 </w:t>
      </w:r>
      <w:r w:rsidR="005E1108">
        <w:rPr>
          <w:sz w:val="22"/>
          <w:szCs w:val="22"/>
        </w:rPr>
        <w:t>tis. Kč</w:t>
      </w:r>
      <w:r w:rsidR="00052366">
        <w:rPr>
          <w:sz w:val="22"/>
          <w:szCs w:val="22"/>
        </w:rPr>
        <w:t>.</w:t>
      </w:r>
    </w:p>
    <w:p w:rsidR="00505CED" w:rsidRDefault="00505CED" w:rsidP="000920D2">
      <w:pPr>
        <w:jc w:val="both"/>
        <w:rPr>
          <w:sz w:val="22"/>
          <w:szCs w:val="22"/>
        </w:rPr>
      </w:pPr>
    </w:p>
    <w:p w:rsidR="000920D2" w:rsidRDefault="000920D2" w:rsidP="000920D2">
      <w:pPr>
        <w:jc w:val="both"/>
        <w:rPr>
          <w:sz w:val="22"/>
          <w:szCs w:val="22"/>
        </w:rPr>
      </w:pPr>
      <w:r w:rsidRPr="00BC34DA">
        <w:rPr>
          <w:sz w:val="22"/>
          <w:szCs w:val="22"/>
        </w:rPr>
        <w:t xml:space="preserve">Místní poplatek za provozovaný </w:t>
      </w:r>
      <w:r w:rsidR="00B61CB9">
        <w:rPr>
          <w:sz w:val="22"/>
          <w:szCs w:val="22"/>
        </w:rPr>
        <w:t>výherní hrací přístroj</w:t>
      </w:r>
      <w:r w:rsidRPr="00BC34DA">
        <w:rPr>
          <w:sz w:val="22"/>
          <w:szCs w:val="22"/>
        </w:rPr>
        <w:t xml:space="preserve"> a </w:t>
      </w:r>
      <w:r w:rsidR="00B61CB9">
        <w:rPr>
          <w:sz w:val="22"/>
          <w:szCs w:val="22"/>
        </w:rPr>
        <w:t>videoloter</w:t>
      </w:r>
      <w:r w:rsidR="00505CED">
        <w:rPr>
          <w:sz w:val="22"/>
          <w:szCs w:val="22"/>
        </w:rPr>
        <w:t xml:space="preserve">ijní </w:t>
      </w:r>
      <w:r w:rsidR="006418EB">
        <w:rPr>
          <w:sz w:val="22"/>
          <w:szCs w:val="22"/>
        </w:rPr>
        <w:t>terminál, zde byly</w:t>
      </w:r>
      <w:r w:rsidRPr="00BC34DA">
        <w:rPr>
          <w:sz w:val="22"/>
          <w:szCs w:val="22"/>
        </w:rPr>
        <w:t xml:space="preserve"> </w:t>
      </w:r>
      <w:r w:rsidR="006418EB">
        <w:rPr>
          <w:sz w:val="22"/>
          <w:szCs w:val="22"/>
        </w:rPr>
        <w:t xml:space="preserve">přijaty již pouze úhrady nedoplatků z let minulých, neboť došlo ke zrušení </w:t>
      </w:r>
      <w:r w:rsidR="006418EB" w:rsidRPr="00BC34DA">
        <w:rPr>
          <w:sz w:val="22"/>
          <w:szCs w:val="22"/>
        </w:rPr>
        <w:t>tohoto poplatku</w:t>
      </w:r>
      <w:r w:rsidR="006418EB">
        <w:rPr>
          <w:sz w:val="22"/>
          <w:szCs w:val="22"/>
        </w:rPr>
        <w:t>.</w:t>
      </w:r>
    </w:p>
    <w:p w:rsidR="00505CED" w:rsidRPr="00BC34DA" w:rsidRDefault="00505CED" w:rsidP="000920D2">
      <w:pPr>
        <w:jc w:val="both"/>
        <w:rPr>
          <w:sz w:val="22"/>
          <w:szCs w:val="22"/>
        </w:rPr>
      </w:pPr>
    </w:p>
    <w:p w:rsidR="000920D2" w:rsidRPr="00956845" w:rsidRDefault="000920D2" w:rsidP="00956845">
      <w:pPr>
        <w:pStyle w:val="Nadpis5"/>
      </w:pPr>
      <w:bookmarkStart w:id="12" w:name="_Toc385875199"/>
      <w:r w:rsidRPr="00BC34DA">
        <w:t>Třída 2</w:t>
      </w:r>
      <w:r w:rsidR="00956845">
        <w:t xml:space="preserve"> </w:t>
      </w:r>
      <w:r w:rsidR="0004552C">
        <w:t>N</w:t>
      </w:r>
      <w:r w:rsidR="00956845">
        <w:t>edaňové příjmy</w:t>
      </w:r>
      <w:bookmarkEnd w:id="12"/>
    </w:p>
    <w:p w:rsidR="000920D2" w:rsidRPr="00BC34DA" w:rsidRDefault="000920D2" w:rsidP="000920D2">
      <w:pPr>
        <w:jc w:val="both"/>
        <w:rPr>
          <w:sz w:val="22"/>
          <w:szCs w:val="22"/>
        </w:rPr>
      </w:pPr>
      <w:r w:rsidRPr="00956845">
        <w:rPr>
          <w:sz w:val="22"/>
          <w:szCs w:val="22"/>
        </w:rPr>
        <w:t>Nedaňové příjmy</w:t>
      </w:r>
      <w:r w:rsidRPr="00BC34DA">
        <w:rPr>
          <w:sz w:val="22"/>
          <w:szCs w:val="22"/>
        </w:rPr>
        <w:t xml:space="preserve"> byly plánovány v celkové výši 8.300 </w:t>
      </w:r>
      <w:r w:rsidR="005E1108">
        <w:rPr>
          <w:sz w:val="22"/>
          <w:szCs w:val="22"/>
        </w:rPr>
        <w:t>tis. Kč</w:t>
      </w:r>
      <w:r w:rsidRPr="00BC34DA">
        <w:rPr>
          <w:sz w:val="22"/>
          <w:szCs w:val="22"/>
        </w:rPr>
        <w:t xml:space="preserve">, upravené v částce 9.946,3 </w:t>
      </w:r>
      <w:r w:rsidR="005E1108">
        <w:rPr>
          <w:sz w:val="22"/>
          <w:szCs w:val="22"/>
        </w:rPr>
        <w:t>tis. Kč</w:t>
      </w:r>
      <w:r w:rsidRPr="00BC34DA">
        <w:rPr>
          <w:sz w:val="22"/>
          <w:szCs w:val="22"/>
        </w:rPr>
        <w:t> a zaúčtovány v celkové výši 10.9</w:t>
      </w:r>
      <w:r w:rsidR="001127A3">
        <w:rPr>
          <w:sz w:val="22"/>
          <w:szCs w:val="22"/>
        </w:rPr>
        <w:t>30</w:t>
      </w:r>
      <w:r w:rsidRPr="00BC34DA">
        <w:rPr>
          <w:sz w:val="22"/>
          <w:szCs w:val="22"/>
        </w:rPr>
        <w:t xml:space="preserve"> </w:t>
      </w:r>
      <w:r w:rsidR="005E1108">
        <w:rPr>
          <w:sz w:val="22"/>
          <w:szCs w:val="22"/>
        </w:rPr>
        <w:t>tis. Kč</w:t>
      </w:r>
      <w:r w:rsidRPr="00BC34DA">
        <w:rPr>
          <w:sz w:val="22"/>
          <w:szCs w:val="22"/>
        </w:rPr>
        <w:t>, tj. plnění na 109,</w:t>
      </w:r>
      <w:r w:rsidR="00B94BDA">
        <w:rPr>
          <w:sz w:val="22"/>
          <w:szCs w:val="22"/>
        </w:rPr>
        <w:t>9</w:t>
      </w:r>
      <w:r w:rsidRPr="00BC34DA">
        <w:rPr>
          <w:sz w:val="22"/>
          <w:szCs w:val="22"/>
        </w:rPr>
        <w:t xml:space="preserve"> % k UR. </w:t>
      </w:r>
    </w:p>
    <w:p w:rsidR="000920D2" w:rsidRPr="00BC34DA" w:rsidRDefault="000920D2" w:rsidP="000920D2">
      <w:pPr>
        <w:jc w:val="both"/>
        <w:rPr>
          <w:sz w:val="22"/>
          <w:szCs w:val="22"/>
        </w:rPr>
      </w:pPr>
    </w:p>
    <w:p w:rsidR="000920D2" w:rsidRPr="00BC34DA" w:rsidRDefault="000920D2" w:rsidP="000920D2">
      <w:pPr>
        <w:jc w:val="both"/>
        <w:rPr>
          <w:sz w:val="22"/>
          <w:szCs w:val="22"/>
        </w:rPr>
      </w:pPr>
      <w:r w:rsidRPr="00BC34DA">
        <w:rPr>
          <w:sz w:val="22"/>
          <w:szCs w:val="22"/>
        </w:rPr>
        <w:t>Vyšší plnění vykazují příjmy z úroků (120,</w:t>
      </w:r>
      <w:r w:rsidR="001127A3">
        <w:rPr>
          <w:sz w:val="22"/>
          <w:szCs w:val="22"/>
        </w:rPr>
        <w:t>2</w:t>
      </w:r>
      <w:r w:rsidR="008D0D2A">
        <w:rPr>
          <w:sz w:val="22"/>
          <w:szCs w:val="22"/>
        </w:rPr>
        <w:t xml:space="preserve"> %), neboť se podařilo udržet vyšší úroveň úročení p</w:t>
      </w:r>
      <w:r w:rsidR="008D0D2A">
        <w:rPr>
          <w:sz w:val="22"/>
          <w:szCs w:val="22"/>
        </w:rPr>
        <w:t>o</w:t>
      </w:r>
      <w:r w:rsidR="008D0D2A">
        <w:rPr>
          <w:sz w:val="22"/>
          <w:szCs w:val="22"/>
        </w:rPr>
        <w:t>měrně vysokých zůstatků na bankovních účtech.</w:t>
      </w:r>
      <w:r w:rsidRPr="00BC34DA">
        <w:rPr>
          <w:sz w:val="22"/>
          <w:szCs w:val="22"/>
        </w:rPr>
        <w:t xml:space="preserve"> Na položce odvody přebytků organizací s přímým vztahem se promítá zaúčtování odvodu od </w:t>
      </w:r>
      <w:r w:rsidR="008D0D2A">
        <w:rPr>
          <w:sz w:val="22"/>
          <w:szCs w:val="22"/>
        </w:rPr>
        <w:t>Zdravotnické</w:t>
      </w:r>
      <w:r w:rsidR="00353941">
        <w:rPr>
          <w:sz w:val="22"/>
          <w:szCs w:val="22"/>
        </w:rPr>
        <w:t>ho</w:t>
      </w:r>
      <w:r w:rsidR="008D0D2A">
        <w:rPr>
          <w:sz w:val="22"/>
          <w:szCs w:val="22"/>
        </w:rPr>
        <w:t xml:space="preserve"> zařízení</w:t>
      </w:r>
      <w:r w:rsidRPr="00BC34DA">
        <w:rPr>
          <w:sz w:val="22"/>
          <w:szCs w:val="22"/>
        </w:rPr>
        <w:t xml:space="preserve"> Smíchov z investičního fondu ve výši 4.359</w:t>
      </w:r>
      <w:r w:rsidR="005E1108">
        <w:rPr>
          <w:sz w:val="22"/>
          <w:szCs w:val="22"/>
        </w:rPr>
        <w:t> Kč</w:t>
      </w:r>
      <w:r w:rsidRPr="00BC34DA">
        <w:rPr>
          <w:sz w:val="22"/>
          <w:szCs w:val="22"/>
        </w:rPr>
        <w:t>, v rámci finančního vypořádání za rok 2012 (pokrytí ztráty z minulých let) a dále př</w:t>
      </w:r>
      <w:r w:rsidRPr="00BC34DA">
        <w:rPr>
          <w:sz w:val="22"/>
          <w:szCs w:val="22"/>
        </w:rPr>
        <w:t>e</w:t>
      </w:r>
      <w:r w:rsidRPr="00BC34DA">
        <w:rPr>
          <w:sz w:val="22"/>
          <w:szCs w:val="22"/>
        </w:rPr>
        <w:t>vod finančních prostředků této organizace na účet zřizovatele (zůstatek fondu odměn ve výši 969.608</w:t>
      </w:r>
      <w:r w:rsidR="005E1108">
        <w:rPr>
          <w:sz w:val="22"/>
          <w:szCs w:val="22"/>
        </w:rPr>
        <w:t> Kč</w:t>
      </w:r>
      <w:r w:rsidRPr="00BC34DA">
        <w:rPr>
          <w:sz w:val="22"/>
          <w:szCs w:val="22"/>
        </w:rPr>
        <w:t xml:space="preserve">), z důvodu ukončení činnosti příspěvkové organizace ke dni 30.6.2013. </w:t>
      </w:r>
    </w:p>
    <w:p w:rsidR="000920D2" w:rsidRPr="00BC34DA" w:rsidRDefault="000920D2" w:rsidP="000920D2">
      <w:pPr>
        <w:jc w:val="both"/>
        <w:rPr>
          <w:sz w:val="22"/>
          <w:szCs w:val="22"/>
        </w:rPr>
      </w:pPr>
    </w:p>
    <w:p w:rsidR="000920D2" w:rsidRPr="00BC34DA" w:rsidRDefault="000920D2" w:rsidP="000920D2">
      <w:pPr>
        <w:jc w:val="both"/>
        <w:rPr>
          <w:sz w:val="22"/>
          <w:szCs w:val="22"/>
        </w:rPr>
      </w:pPr>
      <w:r w:rsidRPr="00BC34DA">
        <w:rPr>
          <w:sz w:val="22"/>
          <w:szCs w:val="22"/>
        </w:rPr>
        <w:t>Na položce 2221 se promítá finanční vypořádání se státním rozpočtem a rozpočtem hl.</w:t>
      </w:r>
      <w:r w:rsidR="00F4247E">
        <w:rPr>
          <w:sz w:val="22"/>
          <w:szCs w:val="22"/>
        </w:rPr>
        <w:t xml:space="preserve"> </w:t>
      </w:r>
      <w:r w:rsidRPr="00BC34DA">
        <w:rPr>
          <w:sz w:val="22"/>
          <w:szCs w:val="22"/>
        </w:rPr>
        <w:t xml:space="preserve">m. Prahy za rok 2012. V rámci </w:t>
      </w:r>
      <w:r w:rsidR="00E00BB8">
        <w:rPr>
          <w:sz w:val="22"/>
          <w:szCs w:val="22"/>
        </w:rPr>
        <w:t>finančního vypořádání</w:t>
      </w:r>
      <w:r w:rsidRPr="00BC34DA">
        <w:rPr>
          <w:sz w:val="22"/>
          <w:szCs w:val="22"/>
        </w:rPr>
        <w:t xml:space="preserve"> za rok 2012 byl rozpočet MČ v roce 2013 navýšen o finan</w:t>
      </w:r>
      <w:r w:rsidRPr="00BC34DA">
        <w:rPr>
          <w:sz w:val="22"/>
          <w:szCs w:val="22"/>
        </w:rPr>
        <w:t>č</w:t>
      </w:r>
      <w:r w:rsidRPr="00BC34DA">
        <w:rPr>
          <w:sz w:val="22"/>
          <w:szCs w:val="22"/>
        </w:rPr>
        <w:t>ní prostředky poskytnuté ze státního rozpočtu – dorovnání zvýšených výdajů v souvislosti s volbou prezidenta ČR ve výši 359.011,60</w:t>
      </w:r>
      <w:r w:rsidR="005E1108">
        <w:rPr>
          <w:sz w:val="22"/>
          <w:szCs w:val="22"/>
        </w:rPr>
        <w:t> Kč</w:t>
      </w:r>
      <w:r w:rsidRPr="00BC34DA">
        <w:rPr>
          <w:sz w:val="22"/>
          <w:szCs w:val="22"/>
        </w:rPr>
        <w:t xml:space="preserve"> a o částku ve výši 584 </w:t>
      </w:r>
      <w:r w:rsidR="005E1108">
        <w:rPr>
          <w:sz w:val="22"/>
          <w:szCs w:val="22"/>
        </w:rPr>
        <w:t>tis. Kč</w:t>
      </w:r>
      <w:r w:rsidRPr="00BC34DA">
        <w:rPr>
          <w:sz w:val="22"/>
          <w:szCs w:val="22"/>
        </w:rPr>
        <w:t xml:space="preserve"> – doplatek podílu na odvodu </w:t>
      </w:r>
      <w:r w:rsidR="00E00BB8">
        <w:rPr>
          <w:sz w:val="22"/>
          <w:szCs w:val="22"/>
        </w:rPr>
        <w:t>v</w:t>
      </w:r>
      <w:r w:rsidR="00E00BB8">
        <w:rPr>
          <w:sz w:val="22"/>
          <w:szCs w:val="22"/>
        </w:rPr>
        <w:t>ý</w:t>
      </w:r>
      <w:r w:rsidR="00E00BB8">
        <w:rPr>
          <w:sz w:val="22"/>
          <w:szCs w:val="22"/>
        </w:rPr>
        <w:t>herních hracích přístrojů</w:t>
      </w:r>
      <w:r w:rsidRPr="00BC34DA">
        <w:rPr>
          <w:sz w:val="22"/>
          <w:szCs w:val="22"/>
        </w:rPr>
        <w:t xml:space="preserve"> za rok 2012. </w:t>
      </w:r>
    </w:p>
    <w:p w:rsidR="000920D2" w:rsidRPr="00BC34DA" w:rsidRDefault="000920D2" w:rsidP="000920D2">
      <w:pPr>
        <w:jc w:val="both"/>
        <w:rPr>
          <w:sz w:val="22"/>
          <w:szCs w:val="22"/>
        </w:rPr>
      </w:pPr>
    </w:p>
    <w:p w:rsidR="00370728" w:rsidRPr="00B108F0" w:rsidRDefault="000920D2" w:rsidP="000920D2">
      <w:pPr>
        <w:jc w:val="both"/>
        <w:rPr>
          <w:sz w:val="22"/>
          <w:szCs w:val="22"/>
        </w:rPr>
      </w:pPr>
      <w:r w:rsidRPr="00BC34DA">
        <w:rPr>
          <w:sz w:val="22"/>
          <w:szCs w:val="22"/>
        </w:rPr>
        <w:t xml:space="preserve">Na příjmové položce 2229 se promítají odvody organizací v rámci finančního vypořádání za rok 2012 (nedočerpané transfery z rozpočtu MČ). Na položce 2324 (přijaté nekapitálové příspěvky a náhrady) jde zejména o proúčtování převodu nedočerpaných mezd z roku 2012 ve výši 1.532,4 </w:t>
      </w:r>
      <w:r w:rsidR="005E1108">
        <w:rPr>
          <w:sz w:val="22"/>
          <w:szCs w:val="22"/>
        </w:rPr>
        <w:t>tis. Kč</w:t>
      </w:r>
      <w:r w:rsidRPr="00BC34DA">
        <w:rPr>
          <w:sz w:val="22"/>
          <w:szCs w:val="22"/>
        </w:rPr>
        <w:t>, které byly převedeny na depozitní účet v závěru roku 2012 a v roce 2013 převedeny zpět do příjmů rozpočtu (převod rozdílu mezi odhadem a skutečností).</w:t>
      </w:r>
    </w:p>
    <w:p w:rsidR="00FC59B8" w:rsidRDefault="00FC59B8" w:rsidP="000920D2">
      <w:pPr>
        <w:jc w:val="both"/>
        <w:rPr>
          <w:b/>
          <w:sz w:val="22"/>
          <w:szCs w:val="22"/>
        </w:rPr>
      </w:pPr>
    </w:p>
    <w:p w:rsidR="000920D2" w:rsidRPr="00956845" w:rsidRDefault="000920D2" w:rsidP="00956845">
      <w:pPr>
        <w:pStyle w:val="Nadpis5"/>
      </w:pPr>
      <w:bookmarkStart w:id="13" w:name="_Toc385875200"/>
      <w:r w:rsidRPr="00BC34DA">
        <w:t>Třída 3</w:t>
      </w:r>
      <w:r w:rsidR="00956845">
        <w:t xml:space="preserve"> </w:t>
      </w:r>
      <w:r w:rsidR="0004552C">
        <w:t>K</w:t>
      </w:r>
      <w:r w:rsidR="00956845">
        <w:t>apitálové příjmy</w:t>
      </w:r>
      <w:bookmarkEnd w:id="13"/>
    </w:p>
    <w:p w:rsidR="007B47B8" w:rsidRDefault="000920D2" w:rsidP="000920D2">
      <w:pPr>
        <w:jc w:val="both"/>
        <w:rPr>
          <w:sz w:val="22"/>
          <w:szCs w:val="22"/>
        </w:rPr>
      </w:pPr>
      <w:r w:rsidRPr="00BC34DA">
        <w:rPr>
          <w:sz w:val="22"/>
          <w:szCs w:val="22"/>
        </w:rPr>
        <w:t>Ve IV. čtvrtletí roku 2013 byly na účet městské části připsány finanční prostředky poskytnuté formou dar</w:t>
      </w:r>
      <w:r w:rsidR="007B47B8">
        <w:rPr>
          <w:sz w:val="22"/>
          <w:szCs w:val="22"/>
        </w:rPr>
        <w:t>ů</w:t>
      </w:r>
      <w:r w:rsidRPr="00BC34DA">
        <w:rPr>
          <w:sz w:val="22"/>
          <w:szCs w:val="22"/>
        </w:rPr>
        <w:t xml:space="preserve"> v celkové výši 5.156,</w:t>
      </w:r>
      <w:r w:rsidR="00E540D2">
        <w:rPr>
          <w:sz w:val="22"/>
          <w:szCs w:val="22"/>
        </w:rPr>
        <w:t>1</w:t>
      </w:r>
      <w:r w:rsidRPr="00BC34DA">
        <w:rPr>
          <w:sz w:val="22"/>
          <w:szCs w:val="22"/>
        </w:rPr>
        <w:t xml:space="preserve"> </w:t>
      </w:r>
      <w:r w:rsidR="005E1108">
        <w:rPr>
          <w:sz w:val="22"/>
          <w:szCs w:val="22"/>
        </w:rPr>
        <w:t>tis. Kč</w:t>
      </w:r>
      <w:r w:rsidRPr="00BC34DA">
        <w:rPr>
          <w:sz w:val="22"/>
          <w:szCs w:val="22"/>
        </w:rPr>
        <w:t>, z toho částka ve výši 156,</w:t>
      </w:r>
      <w:r w:rsidR="00D17B9B">
        <w:rPr>
          <w:sz w:val="22"/>
          <w:szCs w:val="22"/>
        </w:rPr>
        <w:t>1</w:t>
      </w:r>
      <w:r w:rsidRPr="00BC34DA">
        <w:rPr>
          <w:sz w:val="22"/>
          <w:szCs w:val="22"/>
        </w:rPr>
        <w:t xml:space="preserve"> </w:t>
      </w:r>
      <w:r w:rsidR="005E1108">
        <w:rPr>
          <w:sz w:val="22"/>
          <w:szCs w:val="22"/>
        </w:rPr>
        <w:t>tis. Kč</w:t>
      </w:r>
      <w:r w:rsidRPr="00BC34DA">
        <w:rPr>
          <w:sz w:val="22"/>
          <w:szCs w:val="22"/>
        </w:rPr>
        <w:t xml:space="preserve"> od Nadace ČEZ na akci „Osvě</w:t>
      </w:r>
      <w:r w:rsidRPr="00BC34DA">
        <w:rPr>
          <w:sz w:val="22"/>
          <w:szCs w:val="22"/>
        </w:rPr>
        <w:t>t</w:t>
      </w:r>
      <w:r w:rsidRPr="00BC34DA">
        <w:rPr>
          <w:sz w:val="22"/>
          <w:szCs w:val="22"/>
        </w:rPr>
        <w:t>lení přechodu v ulici Svornosti“</w:t>
      </w:r>
      <w:r w:rsidR="00F4247E">
        <w:rPr>
          <w:sz w:val="22"/>
          <w:szCs w:val="22"/>
        </w:rPr>
        <w:t>,</w:t>
      </w:r>
      <w:r w:rsidRPr="00BC34DA">
        <w:rPr>
          <w:sz w:val="22"/>
          <w:szCs w:val="22"/>
        </w:rPr>
        <w:t xml:space="preserve"> která nebyla v roce 2013 čerpána a je zapojena do roz</w:t>
      </w:r>
      <w:r w:rsidR="00F4247E">
        <w:rPr>
          <w:sz w:val="22"/>
          <w:szCs w:val="22"/>
        </w:rPr>
        <w:t>počtu roku 2014.</w:t>
      </w:r>
    </w:p>
    <w:p w:rsidR="007B47B8" w:rsidRDefault="007B47B8" w:rsidP="000920D2">
      <w:pPr>
        <w:jc w:val="both"/>
        <w:rPr>
          <w:sz w:val="22"/>
          <w:szCs w:val="22"/>
        </w:rPr>
      </w:pPr>
    </w:p>
    <w:p w:rsidR="000920D2" w:rsidRPr="00BC34DA" w:rsidRDefault="000920D2" w:rsidP="000920D2">
      <w:pPr>
        <w:jc w:val="both"/>
        <w:rPr>
          <w:sz w:val="22"/>
          <w:szCs w:val="22"/>
        </w:rPr>
      </w:pPr>
      <w:r w:rsidRPr="00BC34DA">
        <w:rPr>
          <w:sz w:val="22"/>
          <w:szCs w:val="22"/>
        </w:rPr>
        <w:t xml:space="preserve">Dále městská část přijala 5.000 </w:t>
      </w:r>
      <w:r w:rsidR="005E1108">
        <w:rPr>
          <w:sz w:val="22"/>
          <w:szCs w:val="22"/>
        </w:rPr>
        <w:t>tis. Kč</w:t>
      </w:r>
      <w:r w:rsidRPr="00BC34DA">
        <w:rPr>
          <w:sz w:val="22"/>
          <w:szCs w:val="22"/>
        </w:rPr>
        <w:t xml:space="preserve"> – dar od ČSOB, a.s., na akci „Revitalizace osady Buďánka</w:t>
      </w:r>
      <w:r w:rsidR="00F4247E">
        <w:rPr>
          <w:sz w:val="22"/>
          <w:szCs w:val="22"/>
        </w:rPr>
        <w:t>“,</w:t>
      </w:r>
      <w:r w:rsidRPr="00BC34DA">
        <w:rPr>
          <w:sz w:val="22"/>
          <w:szCs w:val="22"/>
        </w:rPr>
        <w:t xml:space="preserve"> který byl na základě schválení v ZMČ </w:t>
      </w:r>
      <w:r w:rsidR="008E4ED3">
        <w:rPr>
          <w:sz w:val="22"/>
          <w:szCs w:val="22"/>
        </w:rPr>
        <w:t>dne 19.</w:t>
      </w:r>
      <w:r w:rsidR="00CE6595">
        <w:rPr>
          <w:sz w:val="22"/>
          <w:szCs w:val="22"/>
        </w:rPr>
        <w:t xml:space="preserve"> </w:t>
      </w:r>
      <w:r w:rsidR="008E4ED3">
        <w:rPr>
          <w:sz w:val="22"/>
          <w:szCs w:val="22"/>
        </w:rPr>
        <w:t>12.</w:t>
      </w:r>
      <w:r w:rsidR="00CE6595">
        <w:rPr>
          <w:sz w:val="22"/>
          <w:szCs w:val="22"/>
        </w:rPr>
        <w:t xml:space="preserve"> </w:t>
      </w:r>
      <w:r w:rsidR="008E4ED3">
        <w:rPr>
          <w:sz w:val="22"/>
          <w:szCs w:val="22"/>
        </w:rPr>
        <w:t xml:space="preserve">2013 </w:t>
      </w:r>
      <w:r w:rsidRPr="00BC34DA">
        <w:rPr>
          <w:sz w:val="22"/>
          <w:szCs w:val="22"/>
        </w:rPr>
        <w:t xml:space="preserve">převeden na dočasný peněžní fond, </w:t>
      </w:r>
      <w:r w:rsidR="007B47B8">
        <w:rPr>
          <w:sz w:val="22"/>
          <w:szCs w:val="22"/>
        </w:rPr>
        <w:t>zřízený</w:t>
      </w:r>
      <w:r w:rsidRPr="00BC34DA">
        <w:rPr>
          <w:sz w:val="22"/>
          <w:szCs w:val="22"/>
        </w:rPr>
        <w:t xml:space="preserve"> pro tuto akci. Finanční prostředky nebyly v závěru roku čerpány a </w:t>
      </w:r>
      <w:r w:rsidR="00095790">
        <w:rPr>
          <w:sz w:val="22"/>
          <w:szCs w:val="22"/>
        </w:rPr>
        <w:t>jsou</w:t>
      </w:r>
      <w:r w:rsidRPr="00BC34DA">
        <w:rPr>
          <w:sz w:val="22"/>
          <w:szCs w:val="22"/>
        </w:rPr>
        <w:t xml:space="preserve"> do rozpočtu roku 2014 přev</w:t>
      </w:r>
      <w:r w:rsidRPr="00BC34DA">
        <w:rPr>
          <w:sz w:val="22"/>
          <w:szCs w:val="22"/>
        </w:rPr>
        <w:t>e</w:t>
      </w:r>
      <w:r w:rsidRPr="00BC34DA">
        <w:rPr>
          <w:sz w:val="22"/>
          <w:szCs w:val="22"/>
        </w:rPr>
        <w:t>deny formou úpravy rozpočtu.</w:t>
      </w:r>
    </w:p>
    <w:p w:rsidR="000920D2" w:rsidRPr="00BC34DA" w:rsidRDefault="000920D2" w:rsidP="000920D2">
      <w:pPr>
        <w:jc w:val="both"/>
        <w:rPr>
          <w:sz w:val="22"/>
          <w:szCs w:val="22"/>
        </w:rPr>
      </w:pPr>
    </w:p>
    <w:p w:rsidR="00B108F0" w:rsidRPr="00095790" w:rsidRDefault="00B108F0" w:rsidP="00B108F0">
      <w:pPr>
        <w:jc w:val="both"/>
        <w:rPr>
          <w:b/>
          <w:i/>
          <w:sz w:val="22"/>
          <w:szCs w:val="22"/>
        </w:rPr>
      </w:pPr>
      <w:r w:rsidRPr="00095790">
        <w:rPr>
          <w:b/>
          <w:i/>
          <w:sz w:val="22"/>
          <w:szCs w:val="22"/>
        </w:rPr>
        <w:t xml:space="preserve">Vlastní příjmy </w:t>
      </w:r>
      <w:r w:rsidR="00095790">
        <w:rPr>
          <w:b/>
          <w:i/>
          <w:sz w:val="22"/>
          <w:szCs w:val="22"/>
        </w:rPr>
        <w:t>(příjmy 1., 2. a 3.</w:t>
      </w:r>
      <w:r w:rsidR="00095790" w:rsidRPr="00095790">
        <w:rPr>
          <w:b/>
          <w:i/>
          <w:sz w:val="22"/>
          <w:szCs w:val="22"/>
        </w:rPr>
        <w:t xml:space="preserve"> </w:t>
      </w:r>
      <w:r w:rsidR="00095790">
        <w:rPr>
          <w:b/>
          <w:i/>
          <w:sz w:val="22"/>
          <w:szCs w:val="22"/>
        </w:rPr>
        <w:t xml:space="preserve">třídy) </w:t>
      </w:r>
      <w:r w:rsidR="00095790" w:rsidRPr="00095790">
        <w:rPr>
          <w:b/>
          <w:i/>
          <w:sz w:val="22"/>
          <w:szCs w:val="22"/>
        </w:rPr>
        <w:t xml:space="preserve">byly </w:t>
      </w:r>
      <w:r w:rsidRPr="00095790">
        <w:rPr>
          <w:b/>
          <w:i/>
          <w:sz w:val="22"/>
          <w:szCs w:val="22"/>
        </w:rPr>
        <w:t xml:space="preserve">rozpočtovány v celkové výši 85.320 </w:t>
      </w:r>
      <w:r w:rsidR="005E1108" w:rsidRPr="00095790">
        <w:rPr>
          <w:b/>
          <w:i/>
          <w:sz w:val="22"/>
          <w:szCs w:val="22"/>
        </w:rPr>
        <w:t>tis. Kč</w:t>
      </w:r>
      <w:r w:rsidRPr="00095790">
        <w:rPr>
          <w:b/>
          <w:i/>
          <w:sz w:val="22"/>
          <w:szCs w:val="22"/>
        </w:rPr>
        <w:t>, upravené v částce 92.588,4 </w:t>
      </w:r>
      <w:r w:rsidR="005E1108" w:rsidRPr="00095790">
        <w:rPr>
          <w:b/>
          <w:i/>
          <w:sz w:val="22"/>
          <w:szCs w:val="22"/>
        </w:rPr>
        <w:t>tis. Kč</w:t>
      </w:r>
      <w:r w:rsidRPr="00095790">
        <w:rPr>
          <w:b/>
          <w:i/>
          <w:sz w:val="22"/>
          <w:szCs w:val="22"/>
        </w:rPr>
        <w:t xml:space="preserve"> a inkasovány v celkové výši 91.856,1 </w:t>
      </w:r>
      <w:r w:rsidR="005E1108" w:rsidRPr="00095790">
        <w:rPr>
          <w:b/>
          <w:i/>
          <w:sz w:val="22"/>
          <w:szCs w:val="22"/>
        </w:rPr>
        <w:t>tis. Kč</w:t>
      </w:r>
      <w:r w:rsidR="00095790" w:rsidRPr="00095790">
        <w:rPr>
          <w:b/>
          <w:i/>
          <w:sz w:val="22"/>
          <w:szCs w:val="22"/>
        </w:rPr>
        <w:t>, tj. plnění na 99,2 %.</w:t>
      </w:r>
    </w:p>
    <w:p w:rsidR="00B108F0" w:rsidRPr="00BC34DA" w:rsidRDefault="00B108F0" w:rsidP="00B108F0">
      <w:pPr>
        <w:jc w:val="both"/>
        <w:rPr>
          <w:b/>
          <w:sz w:val="22"/>
          <w:szCs w:val="22"/>
        </w:rPr>
      </w:pPr>
    </w:p>
    <w:p w:rsidR="000920D2" w:rsidRPr="00F0180B" w:rsidRDefault="000920D2" w:rsidP="00F0180B">
      <w:pPr>
        <w:pStyle w:val="Nadpis5"/>
      </w:pPr>
      <w:bookmarkStart w:id="14" w:name="_Toc385875201"/>
      <w:r w:rsidRPr="00F0180B">
        <w:t>Třída 4</w:t>
      </w:r>
      <w:r w:rsidR="00F0180B" w:rsidRPr="00F0180B">
        <w:t xml:space="preserve"> Přijaté transfery a převody z vlastních fondů hospodářské činnosti</w:t>
      </w:r>
      <w:bookmarkEnd w:id="14"/>
    </w:p>
    <w:p w:rsidR="000920D2" w:rsidRPr="00BC34DA" w:rsidRDefault="00F0180B" w:rsidP="000920D2">
      <w:pPr>
        <w:jc w:val="both"/>
        <w:rPr>
          <w:sz w:val="22"/>
          <w:szCs w:val="22"/>
        </w:rPr>
      </w:pPr>
      <w:r>
        <w:rPr>
          <w:sz w:val="22"/>
          <w:szCs w:val="22"/>
        </w:rPr>
        <w:t xml:space="preserve">V této třídě </w:t>
      </w:r>
      <w:r w:rsidR="000920D2" w:rsidRPr="00B357DA">
        <w:rPr>
          <w:sz w:val="22"/>
          <w:szCs w:val="22"/>
        </w:rPr>
        <w:t>byly rozpočtovány v celkové</w:t>
      </w:r>
      <w:r w:rsidR="000920D2" w:rsidRPr="00BC34DA">
        <w:rPr>
          <w:sz w:val="22"/>
          <w:szCs w:val="22"/>
        </w:rPr>
        <w:t xml:space="preserve"> částce 496.230,8 </w:t>
      </w:r>
      <w:r w:rsidR="005E1108">
        <w:rPr>
          <w:sz w:val="22"/>
          <w:szCs w:val="22"/>
        </w:rPr>
        <w:t>tis. Kč</w:t>
      </w:r>
      <w:r w:rsidR="000920D2" w:rsidRPr="00BC34DA">
        <w:rPr>
          <w:sz w:val="22"/>
          <w:szCs w:val="22"/>
        </w:rPr>
        <w:t xml:space="preserve">, upravené na </w:t>
      </w:r>
      <w:r w:rsidR="00E53292">
        <w:rPr>
          <w:sz w:val="22"/>
          <w:szCs w:val="22"/>
        </w:rPr>
        <w:t>727.975,5</w:t>
      </w:r>
      <w:r w:rsidR="000920D2" w:rsidRPr="00BC34DA">
        <w:rPr>
          <w:sz w:val="22"/>
          <w:szCs w:val="22"/>
        </w:rPr>
        <w:t xml:space="preserve">0 </w:t>
      </w:r>
      <w:r w:rsidR="005E1108">
        <w:rPr>
          <w:sz w:val="22"/>
          <w:szCs w:val="22"/>
        </w:rPr>
        <w:t>tis. Kč</w:t>
      </w:r>
      <w:r w:rsidR="000920D2" w:rsidRPr="00BC34DA">
        <w:rPr>
          <w:sz w:val="22"/>
          <w:szCs w:val="22"/>
        </w:rPr>
        <w:t xml:space="preserve"> a za rok 2013 byly do rozpočtu městské části přijaty v celkové výši </w:t>
      </w:r>
      <w:r w:rsidR="00E53292">
        <w:rPr>
          <w:sz w:val="22"/>
          <w:szCs w:val="22"/>
        </w:rPr>
        <w:t>699.754</w:t>
      </w:r>
      <w:r w:rsidR="000920D2" w:rsidRPr="00BC34DA">
        <w:rPr>
          <w:sz w:val="22"/>
          <w:szCs w:val="22"/>
        </w:rPr>
        <w:t xml:space="preserve"> </w:t>
      </w:r>
      <w:r w:rsidR="005E1108">
        <w:rPr>
          <w:sz w:val="22"/>
          <w:szCs w:val="22"/>
        </w:rPr>
        <w:t>tis. Kč</w:t>
      </w:r>
      <w:r w:rsidR="000920D2" w:rsidRPr="00BC34DA">
        <w:rPr>
          <w:sz w:val="22"/>
          <w:szCs w:val="22"/>
        </w:rPr>
        <w:t>, tj. plnění na 9</w:t>
      </w:r>
      <w:r w:rsidR="00E53292">
        <w:rPr>
          <w:sz w:val="22"/>
          <w:szCs w:val="22"/>
        </w:rPr>
        <w:t>6,1</w:t>
      </w:r>
      <w:r>
        <w:rPr>
          <w:sz w:val="22"/>
          <w:szCs w:val="22"/>
        </w:rPr>
        <w:t> %.</w:t>
      </w:r>
    </w:p>
    <w:p w:rsidR="000920D2" w:rsidRPr="00BC34DA" w:rsidRDefault="000920D2" w:rsidP="000920D2">
      <w:pPr>
        <w:jc w:val="both"/>
        <w:rPr>
          <w:sz w:val="22"/>
          <w:szCs w:val="22"/>
        </w:rPr>
      </w:pPr>
    </w:p>
    <w:p w:rsidR="00E24313" w:rsidRDefault="00BD1A80" w:rsidP="000920D2">
      <w:pPr>
        <w:jc w:val="both"/>
        <w:rPr>
          <w:sz w:val="22"/>
          <w:szCs w:val="22"/>
        </w:rPr>
      </w:pPr>
      <w:r w:rsidRPr="00E24313">
        <w:rPr>
          <w:b/>
          <w:sz w:val="22"/>
          <w:szCs w:val="22"/>
        </w:rPr>
        <w:t>Ze státního rozpočtu</w:t>
      </w:r>
    </w:p>
    <w:p w:rsidR="000920D2" w:rsidRPr="00BC34DA" w:rsidRDefault="00BD1A80" w:rsidP="000920D2">
      <w:pPr>
        <w:jc w:val="both"/>
        <w:rPr>
          <w:sz w:val="22"/>
          <w:szCs w:val="22"/>
        </w:rPr>
      </w:pPr>
      <w:r>
        <w:rPr>
          <w:sz w:val="22"/>
          <w:szCs w:val="22"/>
        </w:rPr>
        <w:t xml:space="preserve">bylo přijato v rámci schváleného dotačního transferu celkem </w:t>
      </w:r>
      <w:r w:rsidR="000920D2" w:rsidRPr="00BC34DA">
        <w:rPr>
          <w:sz w:val="22"/>
          <w:szCs w:val="22"/>
        </w:rPr>
        <w:t>46.393</w:t>
      </w:r>
      <w:r w:rsidR="00AA76C9">
        <w:rPr>
          <w:sz w:val="22"/>
          <w:szCs w:val="22"/>
        </w:rPr>
        <w:t xml:space="preserve"> </w:t>
      </w:r>
      <w:r w:rsidR="005E1108">
        <w:rPr>
          <w:sz w:val="22"/>
          <w:szCs w:val="22"/>
        </w:rPr>
        <w:t>tis. Kč</w:t>
      </w:r>
      <w:r w:rsidR="000920D2" w:rsidRPr="00BC34DA">
        <w:rPr>
          <w:sz w:val="22"/>
          <w:szCs w:val="22"/>
        </w:rPr>
        <w:t xml:space="preserve"> a účelové transfery v celkové výši 14.616,</w:t>
      </w:r>
      <w:r w:rsidR="00090689">
        <w:rPr>
          <w:sz w:val="22"/>
          <w:szCs w:val="22"/>
        </w:rPr>
        <w:t>4</w:t>
      </w:r>
      <w:r w:rsidR="000920D2" w:rsidRPr="00BC34DA">
        <w:rPr>
          <w:sz w:val="22"/>
          <w:szCs w:val="22"/>
        </w:rPr>
        <w:t xml:space="preserve"> </w:t>
      </w:r>
      <w:r w:rsidR="005E1108">
        <w:rPr>
          <w:sz w:val="22"/>
          <w:szCs w:val="22"/>
        </w:rPr>
        <w:t>tis. Kč</w:t>
      </w:r>
      <w:r w:rsidR="000920D2" w:rsidRPr="00BC34DA">
        <w:rPr>
          <w:sz w:val="22"/>
          <w:szCs w:val="22"/>
        </w:rPr>
        <w:t>, z toho: na úhradu nákladů souvisejících se zabezpečením činností vykonávaných v oblasti sociálně právní ochrany dětí (7.871,</w:t>
      </w:r>
      <w:r w:rsidR="0006779C">
        <w:rPr>
          <w:sz w:val="22"/>
          <w:szCs w:val="22"/>
        </w:rPr>
        <w:t>1</w:t>
      </w:r>
      <w:r w:rsidR="000920D2" w:rsidRPr="00BC34DA">
        <w:rPr>
          <w:sz w:val="22"/>
          <w:szCs w:val="22"/>
        </w:rPr>
        <w:t xml:space="preserve"> </w:t>
      </w:r>
      <w:r w:rsidR="005E1108">
        <w:rPr>
          <w:sz w:val="22"/>
          <w:szCs w:val="22"/>
        </w:rPr>
        <w:t>tis. Kč</w:t>
      </w:r>
      <w:r w:rsidR="000920D2" w:rsidRPr="00BC34DA">
        <w:rPr>
          <w:sz w:val="22"/>
          <w:szCs w:val="22"/>
        </w:rPr>
        <w:t>),</w:t>
      </w:r>
      <w:r w:rsidR="00AA76C9">
        <w:rPr>
          <w:sz w:val="22"/>
          <w:szCs w:val="22"/>
        </w:rPr>
        <w:t xml:space="preserve"> </w:t>
      </w:r>
      <w:r w:rsidR="000920D2" w:rsidRPr="00BC34DA">
        <w:rPr>
          <w:sz w:val="22"/>
          <w:szCs w:val="22"/>
        </w:rPr>
        <w:t>na volbu prezidenta ČR (2.644,</w:t>
      </w:r>
      <w:r w:rsidR="00090689">
        <w:rPr>
          <w:sz w:val="22"/>
          <w:szCs w:val="22"/>
        </w:rPr>
        <w:t>7</w:t>
      </w:r>
      <w:r w:rsidR="000920D2" w:rsidRPr="00BC34DA">
        <w:rPr>
          <w:sz w:val="22"/>
          <w:szCs w:val="22"/>
        </w:rPr>
        <w:t xml:space="preserve"> </w:t>
      </w:r>
      <w:r w:rsidR="005E1108">
        <w:rPr>
          <w:sz w:val="22"/>
          <w:szCs w:val="22"/>
        </w:rPr>
        <w:t>tis. Kč</w:t>
      </w:r>
      <w:r w:rsidR="000920D2" w:rsidRPr="00BC34DA">
        <w:rPr>
          <w:sz w:val="22"/>
          <w:szCs w:val="22"/>
        </w:rPr>
        <w:t>), na volby do P</w:t>
      </w:r>
      <w:r w:rsidR="007B47B8">
        <w:rPr>
          <w:sz w:val="22"/>
          <w:szCs w:val="22"/>
        </w:rPr>
        <w:t>oslanecké sněmovny</w:t>
      </w:r>
      <w:r w:rsidR="000920D2" w:rsidRPr="00BC34DA">
        <w:rPr>
          <w:sz w:val="22"/>
          <w:szCs w:val="22"/>
        </w:rPr>
        <w:t xml:space="preserve"> </w:t>
      </w:r>
      <w:r w:rsidR="007B47B8">
        <w:rPr>
          <w:sz w:val="22"/>
          <w:szCs w:val="22"/>
        </w:rPr>
        <w:t>P</w:t>
      </w:r>
      <w:r w:rsidR="000920D2" w:rsidRPr="00BC34DA">
        <w:rPr>
          <w:sz w:val="22"/>
          <w:szCs w:val="22"/>
        </w:rPr>
        <w:t>arlamentu ČR (2.572,</w:t>
      </w:r>
      <w:r w:rsidR="00090689">
        <w:rPr>
          <w:sz w:val="22"/>
          <w:szCs w:val="22"/>
        </w:rPr>
        <w:t>6</w:t>
      </w:r>
      <w:r w:rsidR="000920D2" w:rsidRPr="00BC34DA">
        <w:rPr>
          <w:sz w:val="22"/>
          <w:szCs w:val="22"/>
        </w:rPr>
        <w:t xml:space="preserve"> </w:t>
      </w:r>
      <w:r w:rsidR="005E1108">
        <w:rPr>
          <w:sz w:val="22"/>
          <w:szCs w:val="22"/>
        </w:rPr>
        <w:t>tis. Kč</w:t>
      </w:r>
      <w:r w:rsidR="000920D2" w:rsidRPr="00BC34DA">
        <w:rPr>
          <w:sz w:val="22"/>
          <w:szCs w:val="22"/>
        </w:rPr>
        <w:t>) a na výkon pě</w:t>
      </w:r>
      <w:r w:rsidR="000920D2" w:rsidRPr="00BC34DA">
        <w:rPr>
          <w:sz w:val="22"/>
          <w:szCs w:val="22"/>
        </w:rPr>
        <w:t>s</w:t>
      </w:r>
      <w:r w:rsidR="000920D2" w:rsidRPr="00BC34DA">
        <w:rPr>
          <w:sz w:val="22"/>
          <w:szCs w:val="22"/>
        </w:rPr>
        <w:t>tounské péče (1.528 </w:t>
      </w:r>
      <w:r w:rsidR="005E1108">
        <w:rPr>
          <w:sz w:val="22"/>
          <w:szCs w:val="22"/>
        </w:rPr>
        <w:t>tis. Kč</w:t>
      </w:r>
      <w:r w:rsidR="000920D2" w:rsidRPr="00BC34DA">
        <w:rPr>
          <w:sz w:val="22"/>
          <w:szCs w:val="22"/>
        </w:rPr>
        <w:t>).</w:t>
      </w:r>
    </w:p>
    <w:p w:rsidR="000920D2" w:rsidRPr="00BC34DA" w:rsidRDefault="000920D2" w:rsidP="000920D2">
      <w:pPr>
        <w:jc w:val="both"/>
        <w:rPr>
          <w:sz w:val="22"/>
          <w:szCs w:val="22"/>
        </w:rPr>
      </w:pPr>
    </w:p>
    <w:p w:rsidR="00E24313" w:rsidRDefault="000920D2" w:rsidP="000920D2">
      <w:pPr>
        <w:jc w:val="both"/>
        <w:rPr>
          <w:sz w:val="22"/>
          <w:szCs w:val="22"/>
        </w:rPr>
      </w:pPr>
      <w:r w:rsidRPr="00E24313">
        <w:rPr>
          <w:b/>
          <w:sz w:val="22"/>
          <w:szCs w:val="22"/>
        </w:rPr>
        <w:t>Z rozpočtu hl</w:t>
      </w:r>
      <w:r w:rsidR="006D45C5">
        <w:rPr>
          <w:b/>
          <w:sz w:val="22"/>
          <w:szCs w:val="22"/>
        </w:rPr>
        <w:t>avního</w:t>
      </w:r>
      <w:r w:rsidRPr="00E24313">
        <w:rPr>
          <w:b/>
          <w:sz w:val="22"/>
          <w:szCs w:val="22"/>
        </w:rPr>
        <w:t xml:space="preserve"> m</w:t>
      </w:r>
      <w:r w:rsidR="006D45C5">
        <w:rPr>
          <w:b/>
          <w:sz w:val="22"/>
          <w:szCs w:val="22"/>
        </w:rPr>
        <w:t>ěsta</w:t>
      </w:r>
      <w:r w:rsidRPr="00E24313">
        <w:rPr>
          <w:b/>
          <w:sz w:val="22"/>
          <w:szCs w:val="22"/>
        </w:rPr>
        <w:t xml:space="preserve"> Prahy </w:t>
      </w:r>
    </w:p>
    <w:p w:rsidR="000920D2" w:rsidRPr="00BC34DA" w:rsidRDefault="00F80A00" w:rsidP="000920D2">
      <w:pPr>
        <w:jc w:val="both"/>
        <w:rPr>
          <w:sz w:val="22"/>
          <w:szCs w:val="22"/>
        </w:rPr>
      </w:pPr>
      <w:r>
        <w:rPr>
          <w:sz w:val="22"/>
          <w:szCs w:val="22"/>
        </w:rPr>
        <w:t xml:space="preserve">Od hlavního města </w:t>
      </w:r>
      <w:r w:rsidR="000920D2" w:rsidRPr="00BC34DA">
        <w:rPr>
          <w:sz w:val="22"/>
          <w:szCs w:val="22"/>
        </w:rPr>
        <w:t>bylo přijato v rámci schválených dotačních vztahů celkem 194.786 </w:t>
      </w:r>
      <w:r w:rsidR="005E1108">
        <w:rPr>
          <w:sz w:val="22"/>
          <w:szCs w:val="22"/>
        </w:rPr>
        <w:t>tis. Kč</w:t>
      </w:r>
      <w:r w:rsidR="000920D2" w:rsidRPr="00BC34DA">
        <w:rPr>
          <w:sz w:val="22"/>
          <w:szCs w:val="22"/>
        </w:rPr>
        <w:t>. Účel</w:t>
      </w:r>
      <w:r w:rsidR="000920D2" w:rsidRPr="00BC34DA">
        <w:rPr>
          <w:sz w:val="22"/>
          <w:szCs w:val="22"/>
        </w:rPr>
        <w:t>o</w:t>
      </w:r>
      <w:r w:rsidR="000920D2" w:rsidRPr="00BC34DA">
        <w:rPr>
          <w:sz w:val="22"/>
          <w:szCs w:val="22"/>
        </w:rPr>
        <w:t xml:space="preserve">vé neinvestiční transfery byly přijaty v celkové výši 5.632,5 </w:t>
      </w:r>
      <w:r w:rsidR="005E1108">
        <w:rPr>
          <w:sz w:val="22"/>
          <w:szCs w:val="22"/>
        </w:rPr>
        <w:t>tis. Kč</w:t>
      </w:r>
      <w:r w:rsidR="000920D2" w:rsidRPr="00BC34DA">
        <w:rPr>
          <w:sz w:val="22"/>
          <w:szCs w:val="22"/>
        </w:rPr>
        <w:t>, z toho: na údržbu plastik 61,1 </w:t>
      </w:r>
      <w:r w:rsidR="005E1108">
        <w:rPr>
          <w:sz w:val="22"/>
          <w:szCs w:val="22"/>
        </w:rPr>
        <w:t>tis. Kč</w:t>
      </w:r>
      <w:r w:rsidR="000920D2" w:rsidRPr="00BC34DA">
        <w:rPr>
          <w:sz w:val="22"/>
          <w:szCs w:val="22"/>
        </w:rPr>
        <w:t>, na integraci žáků od 1.</w:t>
      </w:r>
      <w:r w:rsidR="00353941">
        <w:rPr>
          <w:sz w:val="22"/>
          <w:szCs w:val="22"/>
        </w:rPr>
        <w:t xml:space="preserve"> </w:t>
      </w:r>
      <w:r w:rsidR="000920D2" w:rsidRPr="00BC34DA">
        <w:rPr>
          <w:sz w:val="22"/>
          <w:szCs w:val="22"/>
        </w:rPr>
        <w:t>1. 2013 do 31.</w:t>
      </w:r>
      <w:r w:rsidR="00353941">
        <w:rPr>
          <w:sz w:val="22"/>
          <w:szCs w:val="22"/>
        </w:rPr>
        <w:t xml:space="preserve"> </w:t>
      </w:r>
      <w:r w:rsidR="000920D2" w:rsidRPr="00BC34DA">
        <w:rPr>
          <w:sz w:val="22"/>
          <w:szCs w:val="22"/>
        </w:rPr>
        <w:t>12.</w:t>
      </w:r>
      <w:r w:rsidR="00353941">
        <w:rPr>
          <w:sz w:val="22"/>
          <w:szCs w:val="22"/>
        </w:rPr>
        <w:t xml:space="preserve"> </w:t>
      </w:r>
      <w:r w:rsidR="000920D2" w:rsidRPr="00BC34DA">
        <w:rPr>
          <w:sz w:val="22"/>
          <w:szCs w:val="22"/>
        </w:rPr>
        <w:t xml:space="preserve">2013 ve výši 3.854,4 </w:t>
      </w:r>
      <w:r w:rsidR="005E1108">
        <w:rPr>
          <w:sz w:val="22"/>
          <w:szCs w:val="22"/>
        </w:rPr>
        <w:t>tis. Kč</w:t>
      </w:r>
      <w:r w:rsidR="000920D2" w:rsidRPr="00BC34DA">
        <w:rPr>
          <w:sz w:val="22"/>
          <w:szCs w:val="22"/>
        </w:rPr>
        <w:t xml:space="preserve">, na grant v sociální oblasti ve výši 427 </w:t>
      </w:r>
      <w:r w:rsidR="005E1108">
        <w:rPr>
          <w:sz w:val="22"/>
          <w:szCs w:val="22"/>
        </w:rPr>
        <w:t>tis. Kč</w:t>
      </w:r>
      <w:r w:rsidR="000920D2" w:rsidRPr="00BC34DA">
        <w:rPr>
          <w:sz w:val="22"/>
          <w:szCs w:val="22"/>
        </w:rPr>
        <w:t>, na Projekt „Zdravé město Praha 2013“ celkem 290 </w:t>
      </w:r>
      <w:r w:rsidR="005E1108">
        <w:rPr>
          <w:sz w:val="22"/>
          <w:szCs w:val="22"/>
        </w:rPr>
        <w:t>tis. Kč</w:t>
      </w:r>
      <w:r w:rsidR="006418EB">
        <w:rPr>
          <w:sz w:val="22"/>
          <w:szCs w:val="22"/>
        </w:rPr>
        <w:t>, na projekt 1</w:t>
      </w:r>
      <w:r w:rsidR="000920D2" w:rsidRPr="00BC34DA">
        <w:rPr>
          <w:sz w:val="22"/>
          <w:szCs w:val="22"/>
        </w:rPr>
        <w:t>.</w:t>
      </w:r>
      <w:r w:rsidR="006418EB">
        <w:rPr>
          <w:sz w:val="22"/>
          <w:szCs w:val="22"/>
        </w:rPr>
        <w:t> </w:t>
      </w:r>
      <w:r w:rsidR="000920D2" w:rsidRPr="00BC34DA">
        <w:rPr>
          <w:sz w:val="22"/>
          <w:szCs w:val="22"/>
        </w:rPr>
        <w:t>kolo prevence kriminality v r</w:t>
      </w:r>
      <w:r w:rsidR="006B1D4D">
        <w:rPr>
          <w:sz w:val="22"/>
          <w:szCs w:val="22"/>
        </w:rPr>
        <w:t>oce</w:t>
      </w:r>
      <w:r w:rsidR="000920D2" w:rsidRPr="00BC34DA">
        <w:rPr>
          <w:sz w:val="22"/>
          <w:szCs w:val="22"/>
        </w:rPr>
        <w:t xml:space="preserve"> 2013 částka 150 </w:t>
      </w:r>
      <w:r w:rsidR="005E1108">
        <w:rPr>
          <w:sz w:val="22"/>
          <w:szCs w:val="22"/>
        </w:rPr>
        <w:t>tis. Kč</w:t>
      </w:r>
      <w:r w:rsidR="000920D2" w:rsidRPr="00BC34DA">
        <w:rPr>
          <w:sz w:val="22"/>
          <w:szCs w:val="22"/>
        </w:rPr>
        <w:t>, na protidrogovou politiku na místní úro</w:t>
      </w:r>
      <w:r w:rsidR="000920D2" w:rsidRPr="00BC34DA">
        <w:rPr>
          <w:sz w:val="22"/>
          <w:szCs w:val="22"/>
        </w:rPr>
        <w:t>v</w:t>
      </w:r>
      <w:r w:rsidR="000920D2" w:rsidRPr="00BC34DA">
        <w:rPr>
          <w:sz w:val="22"/>
          <w:szCs w:val="22"/>
        </w:rPr>
        <w:t xml:space="preserve">ni 50 </w:t>
      </w:r>
      <w:r w:rsidR="005E1108">
        <w:rPr>
          <w:sz w:val="22"/>
          <w:szCs w:val="22"/>
        </w:rPr>
        <w:t>tis. Kč</w:t>
      </w:r>
      <w:r w:rsidR="000920D2" w:rsidRPr="00BC34DA">
        <w:rPr>
          <w:sz w:val="22"/>
          <w:szCs w:val="22"/>
        </w:rPr>
        <w:t xml:space="preserve">, na zkoušky zvláštní odborné způsobilosti 250 </w:t>
      </w:r>
      <w:r w:rsidR="005E1108">
        <w:rPr>
          <w:sz w:val="22"/>
          <w:szCs w:val="22"/>
        </w:rPr>
        <w:t>tis. Kč</w:t>
      </w:r>
      <w:r w:rsidR="000920D2" w:rsidRPr="00BC34DA">
        <w:rPr>
          <w:sz w:val="22"/>
          <w:szCs w:val="22"/>
        </w:rPr>
        <w:t xml:space="preserve">, příspěvek na provoz plaveckého bazénu ZŠ Weberova činil 500 </w:t>
      </w:r>
      <w:r w:rsidR="005E1108">
        <w:rPr>
          <w:sz w:val="22"/>
          <w:szCs w:val="22"/>
        </w:rPr>
        <w:t>tis. Kč</w:t>
      </w:r>
      <w:r w:rsidR="000920D2" w:rsidRPr="00BC34DA">
        <w:rPr>
          <w:sz w:val="22"/>
          <w:szCs w:val="22"/>
        </w:rPr>
        <w:t xml:space="preserve"> a dotace na realizaci aktivit v oblasti sociálních služeb 50 </w:t>
      </w:r>
      <w:r w:rsidR="005E1108">
        <w:rPr>
          <w:sz w:val="22"/>
          <w:szCs w:val="22"/>
        </w:rPr>
        <w:t>tis. Kč</w:t>
      </w:r>
      <w:r w:rsidR="000920D2" w:rsidRPr="00BC34DA">
        <w:rPr>
          <w:sz w:val="22"/>
          <w:szCs w:val="22"/>
        </w:rPr>
        <w:t>.</w:t>
      </w:r>
    </w:p>
    <w:p w:rsidR="000920D2" w:rsidRPr="00BC34DA" w:rsidRDefault="000920D2" w:rsidP="000920D2">
      <w:pPr>
        <w:jc w:val="both"/>
        <w:rPr>
          <w:sz w:val="22"/>
          <w:szCs w:val="22"/>
        </w:rPr>
      </w:pPr>
    </w:p>
    <w:p w:rsidR="000920D2" w:rsidRPr="00BC34DA" w:rsidRDefault="000920D2" w:rsidP="000920D2">
      <w:pPr>
        <w:jc w:val="both"/>
        <w:rPr>
          <w:sz w:val="22"/>
          <w:szCs w:val="22"/>
        </w:rPr>
      </w:pPr>
      <w:r w:rsidRPr="00BC34DA">
        <w:rPr>
          <w:sz w:val="22"/>
          <w:szCs w:val="22"/>
        </w:rPr>
        <w:t>Dále byla přijata do rozpočtu částka v</w:t>
      </w:r>
      <w:r w:rsidR="00E62C3B">
        <w:rPr>
          <w:sz w:val="22"/>
          <w:szCs w:val="22"/>
        </w:rPr>
        <w:t xml:space="preserve"> celkové </w:t>
      </w:r>
      <w:r w:rsidRPr="00BC34DA">
        <w:rPr>
          <w:sz w:val="22"/>
          <w:szCs w:val="22"/>
        </w:rPr>
        <w:t xml:space="preserve">výši 22.665,6 </w:t>
      </w:r>
      <w:r w:rsidR="005E1108">
        <w:rPr>
          <w:sz w:val="22"/>
          <w:szCs w:val="22"/>
        </w:rPr>
        <w:t>tis. Kč</w:t>
      </w:r>
      <w:r w:rsidRPr="00BC34DA">
        <w:rPr>
          <w:sz w:val="22"/>
          <w:szCs w:val="22"/>
        </w:rPr>
        <w:t>, která představuje 50</w:t>
      </w:r>
      <w:r w:rsidR="007B47B8">
        <w:rPr>
          <w:sz w:val="22"/>
          <w:szCs w:val="22"/>
        </w:rPr>
        <w:t xml:space="preserve"> </w:t>
      </w:r>
      <w:r w:rsidRPr="00BC34DA">
        <w:rPr>
          <w:sz w:val="22"/>
          <w:szCs w:val="22"/>
        </w:rPr>
        <w:t>% z odvodu z</w:t>
      </w:r>
      <w:r w:rsidR="007B47B8">
        <w:rPr>
          <w:sz w:val="22"/>
          <w:szCs w:val="22"/>
        </w:rPr>
        <w:t> výherních hracích přístrojů</w:t>
      </w:r>
      <w:r w:rsidRPr="00BC34DA">
        <w:rPr>
          <w:sz w:val="22"/>
          <w:szCs w:val="22"/>
        </w:rPr>
        <w:t xml:space="preserve"> a jiných technických herních zařízení obdrženého v</w:t>
      </w:r>
      <w:r w:rsidR="000648B9">
        <w:rPr>
          <w:sz w:val="22"/>
          <w:szCs w:val="22"/>
        </w:rPr>
        <w:t xml:space="preserve"> roce </w:t>
      </w:r>
      <w:r w:rsidRPr="00BC34DA">
        <w:rPr>
          <w:sz w:val="22"/>
          <w:szCs w:val="22"/>
        </w:rPr>
        <w:t>2013</w:t>
      </w:r>
      <w:r w:rsidR="009C7D64">
        <w:rPr>
          <w:sz w:val="22"/>
          <w:szCs w:val="22"/>
        </w:rPr>
        <w:t xml:space="preserve">. </w:t>
      </w:r>
      <w:r w:rsidR="00DF65B4">
        <w:rPr>
          <w:sz w:val="22"/>
          <w:szCs w:val="22"/>
        </w:rPr>
        <w:t>F</w:t>
      </w:r>
      <w:r w:rsidRPr="00BC34DA">
        <w:rPr>
          <w:sz w:val="22"/>
          <w:szCs w:val="22"/>
        </w:rPr>
        <w:t>ormou neinvestiční dotace</w:t>
      </w:r>
      <w:r w:rsidR="006A0636">
        <w:rPr>
          <w:sz w:val="22"/>
          <w:szCs w:val="22"/>
        </w:rPr>
        <w:t xml:space="preserve"> byla </w:t>
      </w:r>
      <w:r w:rsidRPr="00BC34DA">
        <w:rPr>
          <w:sz w:val="22"/>
          <w:szCs w:val="22"/>
        </w:rPr>
        <w:t>přijata vratka 100% podílu MČ na celkové daňové povinnosti HMP na dani z příjmu za zdaňovací období 2012 a to v celkové výši 83.130.259,54</w:t>
      </w:r>
      <w:r w:rsidR="005E1108">
        <w:rPr>
          <w:sz w:val="22"/>
          <w:szCs w:val="22"/>
        </w:rPr>
        <w:t> Kč</w:t>
      </w:r>
      <w:r w:rsidRPr="00BC34DA">
        <w:rPr>
          <w:sz w:val="22"/>
          <w:szCs w:val="22"/>
        </w:rPr>
        <w:t>.</w:t>
      </w:r>
    </w:p>
    <w:p w:rsidR="000920D2" w:rsidRPr="00BC34DA" w:rsidRDefault="000920D2" w:rsidP="000920D2">
      <w:pPr>
        <w:jc w:val="both"/>
        <w:rPr>
          <w:sz w:val="22"/>
          <w:szCs w:val="22"/>
        </w:rPr>
      </w:pPr>
    </w:p>
    <w:p w:rsidR="000920D2" w:rsidRPr="00BC34DA" w:rsidRDefault="000920D2" w:rsidP="000920D2">
      <w:pPr>
        <w:jc w:val="both"/>
        <w:rPr>
          <w:sz w:val="22"/>
          <w:szCs w:val="22"/>
        </w:rPr>
      </w:pPr>
      <w:r w:rsidRPr="00BC34DA">
        <w:rPr>
          <w:sz w:val="22"/>
          <w:szCs w:val="22"/>
        </w:rPr>
        <w:t>V upraveném rozpočtu se promítá navýšení rozpočtu na realizaci: obnov</w:t>
      </w:r>
      <w:r w:rsidR="007E55EF">
        <w:rPr>
          <w:sz w:val="22"/>
          <w:szCs w:val="22"/>
        </w:rPr>
        <w:t>y</w:t>
      </w:r>
      <w:r w:rsidRPr="00BC34DA">
        <w:rPr>
          <w:sz w:val="22"/>
          <w:szCs w:val="22"/>
        </w:rPr>
        <w:t xml:space="preserve"> střešního pláště objektu Štefánikova 12/68 – Portheimka o částku 2.000 </w:t>
      </w:r>
      <w:r w:rsidR="005E1108">
        <w:rPr>
          <w:sz w:val="22"/>
          <w:szCs w:val="22"/>
        </w:rPr>
        <w:t>tis. Kč</w:t>
      </w:r>
      <w:r w:rsidRPr="00BC34DA">
        <w:rPr>
          <w:sz w:val="22"/>
          <w:szCs w:val="22"/>
        </w:rPr>
        <w:t xml:space="preserve"> z MHMP. </w:t>
      </w:r>
      <w:r w:rsidR="00C720CF">
        <w:rPr>
          <w:sz w:val="22"/>
          <w:szCs w:val="22"/>
        </w:rPr>
        <w:t>Finanční prostředky nebyly posky</w:t>
      </w:r>
      <w:r w:rsidR="00C720CF">
        <w:rPr>
          <w:sz w:val="22"/>
          <w:szCs w:val="22"/>
        </w:rPr>
        <w:t>t</w:t>
      </w:r>
      <w:r w:rsidR="00C720CF">
        <w:rPr>
          <w:sz w:val="22"/>
          <w:szCs w:val="22"/>
        </w:rPr>
        <w:t xml:space="preserve">nuty z důvodu </w:t>
      </w:r>
      <w:proofErr w:type="spellStart"/>
      <w:r w:rsidR="00593E81">
        <w:rPr>
          <w:sz w:val="22"/>
          <w:szCs w:val="22"/>
        </w:rPr>
        <w:t>n</w:t>
      </w:r>
      <w:r w:rsidR="00C720CF">
        <w:rPr>
          <w:sz w:val="22"/>
          <w:szCs w:val="22"/>
        </w:rPr>
        <w:t>erealizace</w:t>
      </w:r>
      <w:proofErr w:type="spellEnd"/>
      <w:r w:rsidR="00C720CF">
        <w:rPr>
          <w:sz w:val="22"/>
          <w:szCs w:val="22"/>
        </w:rPr>
        <w:t xml:space="preserve"> plánovaného projektu.</w:t>
      </w:r>
    </w:p>
    <w:p w:rsidR="000920D2" w:rsidRPr="00BC34DA" w:rsidRDefault="000920D2" w:rsidP="000920D2">
      <w:pPr>
        <w:jc w:val="both"/>
        <w:rPr>
          <w:sz w:val="22"/>
          <w:szCs w:val="22"/>
        </w:rPr>
      </w:pPr>
    </w:p>
    <w:p w:rsidR="000920D2" w:rsidRDefault="000920D2" w:rsidP="000920D2">
      <w:pPr>
        <w:jc w:val="both"/>
        <w:rPr>
          <w:sz w:val="22"/>
          <w:szCs w:val="22"/>
        </w:rPr>
      </w:pPr>
      <w:r w:rsidRPr="00454DE6">
        <w:rPr>
          <w:i/>
          <w:sz w:val="22"/>
          <w:szCs w:val="22"/>
        </w:rPr>
        <w:t>Na položce 4122 – Neinvestiční přijaté transfery od krajů</w:t>
      </w:r>
      <w:r w:rsidRPr="0096085A">
        <w:rPr>
          <w:b/>
          <w:sz w:val="22"/>
          <w:szCs w:val="22"/>
        </w:rPr>
        <w:t xml:space="preserve"> –</w:t>
      </w:r>
      <w:r w:rsidR="00E80333">
        <w:rPr>
          <w:b/>
          <w:sz w:val="22"/>
          <w:szCs w:val="22"/>
        </w:rPr>
        <w:t xml:space="preserve"> </w:t>
      </w:r>
      <w:r w:rsidR="00E80333" w:rsidRPr="00E80333">
        <w:rPr>
          <w:sz w:val="22"/>
          <w:szCs w:val="22"/>
        </w:rPr>
        <w:t>byly přijaty</w:t>
      </w:r>
      <w:r w:rsidR="00E80333">
        <w:rPr>
          <w:b/>
          <w:sz w:val="22"/>
          <w:szCs w:val="22"/>
        </w:rPr>
        <w:t xml:space="preserve"> </w:t>
      </w:r>
      <w:r w:rsidR="00864A45">
        <w:rPr>
          <w:sz w:val="22"/>
          <w:szCs w:val="22"/>
        </w:rPr>
        <w:t xml:space="preserve">finanční prostředky v celkové částce 2.520,5 </w:t>
      </w:r>
      <w:r w:rsidR="005E1108">
        <w:rPr>
          <w:sz w:val="22"/>
          <w:szCs w:val="22"/>
        </w:rPr>
        <w:t>tis. Kč</w:t>
      </w:r>
      <w:r w:rsidR="000421A7">
        <w:rPr>
          <w:sz w:val="22"/>
          <w:szCs w:val="22"/>
        </w:rPr>
        <w:t>,</w:t>
      </w:r>
      <w:r w:rsidR="00864A45">
        <w:rPr>
          <w:sz w:val="22"/>
          <w:szCs w:val="22"/>
        </w:rPr>
        <w:t xml:space="preserve"> </w:t>
      </w:r>
      <w:r w:rsidRPr="00BC34DA">
        <w:rPr>
          <w:sz w:val="22"/>
          <w:szCs w:val="22"/>
        </w:rPr>
        <w:t xml:space="preserve">určené pro ZŠ a MŠ U Santošky 107/1 v celkové výši 1.125,2 </w:t>
      </w:r>
      <w:r w:rsidR="005E1108">
        <w:rPr>
          <w:sz w:val="22"/>
          <w:szCs w:val="22"/>
        </w:rPr>
        <w:t>tis. Kč</w:t>
      </w:r>
      <w:r w:rsidRPr="00BC34DA">
        <w:rPr>
          <w:sz w:val="22"/>
          <w:szCs w:val="22"/>
        </w:rPr>
        <w:t xml:space="preserve"> (z toho:</w:t>
      </w:r>
      <w:r w:rsidR="00AA76C9">
        <w:rPr>
          <w:sz w:val="22"/>
          <w:szCs w:val="22"/>
        </w:rPr>
        <w:t xml:space="preserve"> </w:t>
      </w:r>
      <w:r w:rsidRPr="00BC34DA">
        <w:rPr>
          <w:sz w:val="22"/>
          <w:szCs w:val="22"/>
        </w:rPr>
        <w:t xml:space="preserve">EU 956,4 </w:t>
      </w:r>
      <w:r w:rsidR="005E1108">
        <w:rPr>
          <w:sz w:val="22"/>
          <w:szCs w:val="22"/>
        </w:rPr>
        <w:t>tis. Kč</w:t>
      </w:r>
      <w:r w:rsidR="00AA76C9">
        <w:rPr>
          <w:sz w:val="22"/>
          <w:szCs w:val="22"/>
        </w:rPr>
        <w:t xml:space="preserve"> </w:t>
      </w:r>
      <w:r w:rsidRPr="00BC34DA">
        <w:rPr>
          <w:sz w:val="22"/>
          <w:szCs w:val="22"/>
        </w:rPr>
        <w:t xml:space="preserve">a HMP 168,8 </w:t>
      </w:r>
      <w:r w:rsidR="005E1108">
        <w:rPr>
          <w:sz w:val="22"/>
          <w:szCs w:val="22"/>
        </w:rPr>
        <w:t>tis. Kč</w:t>
      </w:r>
      <w:r w:rsidRPr="00BC34DA">
        <w:rPr>
          <w:sz w:val="22"/>
          <w:szCs w:val="22"/>
        </w:rPr>
        <w:t>) na projekt „ ProAsistence“ OPP – Adaptabilita</w:t>
      </w:r>
      <w:r w:rsidR="000421A7">
        <w:rPr>
          <w:sz w:val="22"/>
          <w:szCs w:val="22"/>
        </w:rPr>
        <w:t>.</w:t>
      </w:r>
      <w:r w:rsidRPr="00BC34DA">
        <w:rPr>
          <w:sz w:val="22"/>
          <w:szCs w:val="22"/>
        </w:rPr>
        <w:t xml:space="preserve"> </w:t>
      </w:r>
    </w:p>
    <w:p w:rsidR="000421A7" w:rsidRPr="00BC34DA" w:rsidRDefault="000421A7" w:rsidP="000920D2">
      <w:pPr>
        <w:jc w:val="both"/>
        <w:rPr>
          <w:sz w:val="22"/>
          <w:szCs w:val="22"/>
        </w:rPr>
      </w:pPr>
    </w:p>
    <w:p w:rsidR="000920D2" w:rsidRDefault="00864A45" w:rsidP="000920D2">
      <w:pPr>
        <w:jc w:val="both"/>
        <w:rPr>
          <w:sz w:val="22"/>
          <w:szCs w:val="22"/>
        </w:rPr>
      </w:pPr>
      <w:r>
        <w:rPr>
          <w:sz w:val="22"/>
          <w:szCs w:val="22"/>
        </w:rPr>
        <w:t xml:space="preserve">Dále </w:t>
      </w:r>
      <w:r w:rsidR="00F255B1">
        <w:rPr>
          <w:sz w:val="22"/>
          <w:szCs w:val="22"/>
        </w:rPr>
        <w:t xml:space="preserve">jsme obdrželi </w:t>
      </w:r>
      <w:r>
        <w:rPr>
          <w:sz w:val="22"/>
          <w:szCs w:val="22"/>
        </w:rPr>
        <w:t xml:space="preserve">finanční prostředky pro </w:t>
      </w:r>
      <w:r w:rsidR="000920D2" w:rsidRPr="00BC34DA">
        <w:rPr>
          <w:sz w:val="22"/>
          <w:szCs w:val="22"/>
        </w:rPr>
        <w:t xml:space="preserve">ZŠ waldorfská </w:t>
      </w:r>
      <w:r>
        <w:rPr>
          <w:sz w:val="22"/>
          <w:szCs w:val="22"/>
        </w:rPr>
        <w:t xml:space="preserve">ve </w:t>
      </w:r>
      <w:r w:rsidR="000920D2" w:rsidRPr="00BC34DA">
        <w:rPr>
          <w:sz w:val="22"/>
          <w:szCs w:val="22"/>
        </w:rPr>
        <w:t>výši 1.805</w:t>
      </w:r>
      <w:r w:rsidR="00406AA5">
        <w:rPr>
          <w:sz w:val="22"/>
          <w:szCs w:val="22"/>
        </w:rPr>
        <w:t> </w:t>
      </w:r>
      <w:r w:rsidR="005E1108">
        <w:rPr>
          <w:sz w:val="22"/>
          <w:szCs w:val="22"/>
        </w:rPr>
        <w:t>tis. Kč</w:t>
      </w:r>
      <w:r w:rsidR="000920D2" w:rsidRPr="00BC34DA">
        <w:rPr>
          <w:sz w:val="22"/>
          <w:szCs w:val="22"/>
        </w:rPr>
        <w:t xml:space="preserve"> (z toho: EU 1.534,2 </w:t>
      </w:r>
      <w:r w:rsidR="005E1108">
        <w:rPr>
          <w:sz w:val="22"/>
          <w:szCs w:val="22"/>
        </w:rPr>
        <w:t>tis. Kč</w:t>
      </w:r>
      <w:r w:rsidR="000920D2" w:rsidRPr="00BC34DA">
        <w:rPr>
          <w:sz w:val="22"/>
          <w:szCs w:val="22"/>
        </w:rPr>
        <w:t xml:space="preserve"> a HMP 270,8 </w:t>
      </w:r>
      <w:r w:rsidR="005E1108">
        <w:rPr>
          <w:sz w:val="22"/>
          <w:szCs w:val="22"/>
        </w:rPr>
        <w:t>tis. Kč</w:t>
      </w:r>
      <w:r w:rsidR="000920D2" w:rsidRPr="00BC34DA">
        <w:rPr>
          <w:sz w:val="22"/>
          <w:szCs w:val="22"/>
        </w:rPr>
        <w:t>)</w:t>
      </w:r>
      <w:r w:rsidR="002003EE">
        <w:rPr>
          <w:sz w:val="22"/>
          <w:szCs w:val="22"/>
        </w:rPr>
        <w:t xml:space="preserve">. </w:t>
      </w:r>
      <w:proofErr w:type="gramStart"/>
      <w:r w:rsidR="002003EE">
        <w:rPr>
          <w:sz w:val="22"/>
          <w:szCs w:val="22"/>
        </w:rPr>
        <w:t>n</w:t>
      </w:r>
      <w:r w:rsidR="00F255B1">
        <w:rPr>
          <w:sz w:val="22"/>
          <w:szCs w:val="22"/>
        </w:rPr>
        <w:t>a</w:t>
      </w:r>
      <w:proofErr w:type="gramEnd"/>
      <w:r w:rsidR="00F255B1">
        <w:rPr>
          <w:sz w:val="22"/>
          <w:szCs w:val="22"/>
        </w:rPr>
        <w:t xml:space="preserve"> projekt </w:t>
      </w:r>
      <w:r w:rsidR="000920D2" w:rsidRPr="00BC34DA">
        <w:rPr>
          <w:sz w:val="22"/>
          <w:szCs w:val="22"/>
        </w:rPr>
        <w:t>„Inkluze na ZŠ waldorfské</w:t>
      </w:r>
      <w:r w:rsidR="006418EB">
        <w:rPr>
          <w:sz w:val="22"/>
          <w:szCs w:val="22"/>
        </w:rPr>
        <w:t>“</w:t>
      </w:r>
      <w:r w:rsidR="000920D2" w:rsidRPr="00BC34DA">
        <w:rPr>
          <w:sz w:val="22"/>
          <w:szCs w:val="22"/>
        </w:rPr>
        <w:t xml:space="preserve"> v rámci OPP –</w:t>
      </w:r>
      <w:r w:rsidR="00F255B1">
        <w:rPr>
          <w:sz w:val="22"/>
          <w:szCs w:val="22"/>
        </w:rPr>
        <w:t xml:space="preserve"> </w:t>
      </w:r>
      <w:r w:rsidR="002003EE">
        <w:rPr>
          <w:sz w:val="22"/>
          <w:szCs w:val="22"/>
        </w:rPr>
        <w:t>Adaptabilita.</w:t>
      </w:r>
    </w:p>
    <w:p w:rsidR="00F255B1" w:rsidRPr="00BC34DA" w:rsidRDefault="00F255B1" w:rsidP="000920D2">
      <w:pPr>
        <w:jc w:val="both"/>
        <w:rPr>
          <w:sz w:val="22"/>
          <w:szCs w:val="22"/>
        </w:rPr>
      </w:pPr>
    </w:p>
    <w:p w:rsidR="000920D2" w:rsidRPr="00BC34DA" w:rsidRDefault="000920D2" w:rsidP="000920D2">
      <w:pPr>
        <w:jc w:val="both"/>
        <w:rPr>
          <w:sz w:val="22"/>
          <w:szCs w:val="22"/>
        </w:rPr>
      </w:pPr>
      <w:r w:rsidRPr="00454DE6">
        <w:rPr>
          <w:i/>
          <w:sz w:val="22"/>
          <w:szCs w:val="22"/>
        </w:rPr>
        <w:t>Na položce 4129 – Ostatní neinvestiční transfer od rozpočtu územní úrovně</w:t>
      </w:r>
      <w:r w:rsidRPr="00BC34DA">
        <w:rPr>
          <w:sz w:val="22"/>
          <w:szCs w:val="22"/>
        </w:rPr>
        <w:t xml:space="preserve"> se promítá částka ve výši 5.59</w:t>
      </w:r>
      <w:r w:rsidR="00C45FCF">
        <w:rPr>
          <w:sz w:val="22"/>
          <w:szCs w:val="22"/>
        </w:rPr>
        <w:t>3</w:t>
      </w:r>
      <w:r w:rsidRPr="00BC34DA">
        <w:rPr>
          <w:sz w:val="22"/>
          <w:szCs w:val="22"/>
        </w:rPr>
        <w:t xml:space="preserve"> </w:t>
      </w:r>
      <w:r w:rsidR="005E1108">
        <w:rPr>
          <w:sz w:val="22"/>
          <w:szCs w:val="22"/>
        </w:rPr>
        <w:t>tis. Kč</w:t>
      </w:r>
      <w:r w:rsidRPr="00BC34DA">
        <w:rPr>
          <w:sz w:val="22"/>
          <w:szCs w:val="22"/>
        </w:rPr>
        <w:t xml:space="preserve"> (zaúčtováno mínusem) a jde o snížení příjmů rozpočtu MČ v důsledku Smlouvy o spol</w:t>
      </w:r>
      <w:r w:rsidRPr="00BC34DA">
        <w:rPr>
          <w:sz w:val="22"/>
          <w:szCs w:val="22"/>
        </w:rPr>
        <w:t>u</w:t>
      </w:r>
      <w:r w:rsidRPr="00BC34DA">
        <w:rPr>
          <w:sz w:val="22"/>
          <w:szCs w:val="22"/>
        </w:rPr>
        <w:t xml:space="preserve">práci při zajišťování dopravní obslužnosti v oblasti Žvahova, provoz linky č. 128 </w:t>
      </w:r>
      <w:r w:rsidR="00BA783C">
        <w:rPr>
          <w:sz w:val="22"/>
          <w:szCs w:val="22"/>
        </w:rPr>
        <w:t xml:space="preserve">(593 </w:t>
      </w:r>
      <w:r w:rsidR="005E1108">
        <w:rPr>
          <w:sz w:val="22"/>
          <w:szCs w:val="22"/>
        </w:rPr>
        <w:t>tis. Kč</w:t>
      </w:r>
      <w:r w:rsidR="00BA783C">
        <w:rPr>
          <w:sz w:val="22"/>
          <w:szCs w:val="22"/>
        </w:rPr>
        <w:t xml:space="preserve">) </w:t>
      </w:r>
      <w:r w:rsidRPr="00BC34DA">
        <w:rPr>
          <w:sz w:val="22"/>
          <w:szCs w:val="22"/>
        </w:rPr>
        <w:t>a smlouvy s Technickou správou komunikací, kdy bylo poskytnuto do rozpočtu hl.</w:t>
      </w:r>
      <w:r w:rsidR="00E24313">
        <w:rPr>
          <w:sz w:val="22"/>
          <w:szCs w:val="22"/>
        </w:rPr>
        <w:t xml:space="preserve"> </w:t>
      </w:r>
      <w:r w:rsidRPr="00BC34DA">
        <w:rPr>
          <w:sz w:val="22"/>
          <w:szCs w:val="22"/>
        </w:rPr>
        <w:t xml:space="preserve">m. Prahy 5.000 </w:t>
      </w:r>
      <w:r w:rsidR="005E1108">
        <w:rPr>
          <w:sz w:val="22"/>
          <w:szCs w:val="22"/>
        </w:rPr>
        <w:t>tis. Kč</w:t>
      </w:r>
      <w:r w:rsidRPr="00BC34DA">
        <w:rPr>
          <w:sz w:val="22"/>
          <w:szCs w:val="22"/>
        </w:rPr>
        <w:t xml:space="preserve"> na opravy c</w:t>
      </w:r>
      <w:r w:rsidR="00E24313">
        <w:rPr>
          <w:sz w:val="22"/>
          <w:szCs w:val="22"/>
        </w:rPr>
        <w:t>hodníků na území městské části.</w:t>
      </w:r>
    </w:p>
    <w:p w:rsidR="000920D2" w:rsidRDefault="000920D2" w:rsidP="000920D2">
      <w:pPr>
        <w:jc w:val="both"/>
        <w:rPr>
          <w:sz w:val="22"/>
          <w:szCs w:val="22"/>
        </w:rPr>
      </w:pPr>
    </w:p>
    <w:p w:rsidR="00E24313" w:rsidRPr="00E24313" w:rsidRDefault="00E24313" w:rsidP="000920D2">
      <w:pPr>
        <w:jc w:val="both"/>
        <w:rPr>
          <w:b/>
          <w:sz w:val="22"/>
          <w:szCs w:val="22"/>
        </w:rPr>
      </w:pPr>
      <w:r w:rsidRPr="00E24313">
        <w:rPr>
          <w:b/>
          <w:sz w:val="22"/>
          <w:szCs w:val="22"/>
        </w:rPr>
        <w:t>Převody ze zdaňované činnosti</w:t>
      </w:r>
    </w:p>
    <w:p w:rsidR="00C23E7F" w:rsidRDefault="000920D2" w:rsidP="000920D2">
      <w:pPr>
        <w:jc w:val="both"/>
        <w:rPr>
          <w:sz w:val="22"/>
          <w:szCs w:val="22"/>
        </w:rPr>
      </w:pPr>
      <w:r w:rsidRPr="00E01ECE">
        <w:rPr>
          <w:i/>
          <w:sz w:val="22"/>
          <w:szCs w:val="22"/>
        </w:rPr>
        <w:t>Převody z vlastních fondů hospodářské (podnikatelské činnosti) – pol. 4131</w:t>
      </w:r>
      <w:r w:rsidRPr="00BC34DA">
        <w:rPr>
          <w:sz w:val="22"/>
          <w:szCs w:val="22"/>
        </w:rPr>
        <w:t xml:space="preserve"> – za sledované období bylo převedeno </w:t>
      </w:r>
      <w:r w:rsidR="00C23E7F">
        <w:rPr>
          <w:sz w:val="22"/>
          <w:szCs w:val="22"/>
        </w:rPr>
        <w:t>ze zdaňované činnosti</w:t>
      </w:r>
      <w:r w:rsidR="00C23E7F" w:rsidRPr="00BC34DA">
        <w:rPr>
          <w:sz w:val="22"/>
          <w:szCs w:val="22"/>
        </w:rPr>
        <w:t xml:space="preserve"> </w:t>
      </w:r>
      <w:r w:rsidRPr="00BC34DA">
        <w:rPr>
          <w:sz w:val="22"/>
          <w:szCs w:val="22"/>
        </w:rPr>
        <w:t>celkem 333.599,</w:t>
      </w:r>
      <w:r w:rsidR="00175067">
        <w:rPr>
          <w:sz w:val="22"/>
          <w:szCs w:val="22"/>
        </w:rPr>
        <w:t>6</w:t>
      </w:r>
      <w:r w:rsidRPr="00BC34DA">
        <w:rPr>
          <w:sz w:val="22"/>
          <w:szCs w:val="22"/>
        </w:rPr>
        <w:t xml:space="preserve"> </w:t>
      </w:r>
      <w:r w:rsidR="005E1108">
        <w:rPr>
          <w:sz w:val="22"/>
          <w:szCs w:val="22"/>
        </w:rPr>
        <w:t>tis. Kč</w:t>
      </w:r>
      <w:r w:rsidRPr="00BC34DA">
        <w:rPr>
          <w:sz w:val="22"/>
          <w:szCs w:val="22"/>
        </w:rPr>
        <w:t xml:space="preserve">. Jedná se o finanční prostředky, které byly převedeny do rozpočtu městské části na základě skutečného čerpání </w:t>
      </w:r>
      <w:r w:rsidR="003C5AC5">
        <w:rPr>
          <w:sz w:val="22"/>
          <w:szCs w:val="22"/>
        </w:rPr>
        <w:t>výdajů</w:t>
      </w:r>
      <w:r w:rsidRPr="00BC34DA">
        <w:rPr>
          <w:sz w:val="22"/>
          <w:szCs w:val="22"/>
        </w:rPr>
        <w:t xml:space="preserve">. </w:t>
      </w:r>
    </w:p>
    <w:p w:rsidR="000920D2" w:rsidRDefault="000920D2" w:rsidP="000920D2">
      <w:pPr>
        <w:jc w:val="both"/>
        <w:rPr>
          <w:sz w:val="22"/>
          <w:szCs w:val="22"/>
        </w:rPr>
      </w:pPr>
      <w:r w:rsidRPr="00BC34DA">
        <w:rPr>
          <w:sz w:val="22"/>
          <w:szCs w:val="22"/>
        </w:rPr>
        <w:t>Usnesením</w:t>
      </w:r>
      <w:r w:rsidR="00AA76C9">
        <w:rPr>
          <w:sz w:val="22"/>
          <w:szCs w:val="22"/>
        </w:rPr>
        <w:t xml:space="preserve"> </w:t>
      </w:r>
      <w:r w:rsidRPr="00BC34DA">
        <w:rPr>
          <w:sz w:val="22"/>
          <w:szCs w:val="22"/>
        </w:rPr>
        <w:t>ZMČ číslo 22/2/2013 ze dne 7.</w:t>
      </w:r>
      <w:r w:rsidR="00C23E7F">
        <w:rPr>
          <w:sz w:val="22"/>
          <w:szCs w:val="22"/>
        </w:rPr>
        <w:t xml:space="preserve"> </w:t>
      </w:r>
      <w:r w:rsidRPr="00BC34DA">
        <w:rPr>
          <w:sz w:val="22"/>
          <w:szCs w:val="22"/>
        </w:rPr>
        <w:t>2.</w:t>
      </w:r>
      <w:r w:rsidR="00C23E7F">
        <w:rPr>
          <w:sz w:val="22"/>
          <w:szCs w:val="22"/>
        </w:rPr>
        <w:t xml:space="preserve"> </w:t>
      </w:r>
      <w:r w:rsidRPr="00BC34DA">
        <w:rPr>
          <w:sz w:val="22"/>
          <w:szCs w:val="22"/>
        </w:rPr>
        <w:t xml:space="preserve">2013 byl uložen RMČ úkol navýšit hodnotu </w:t>
      </w:r>
      <w:r w:rsidR="00C23E7F">
        <w:rPr>
          <w:sz w:val="22"/>
          <w:szCs w:val="22"/>
        </w:rPr>
        <w:t>fondu r</w:t>
      </w:r>
      <w:r w:rsidR="00C23E7F">
        <w:rPr>
          <w:sz w:val="22"/>
          <w:szCs w:val="22"/>
        </w:rPr>
        <w:t>e</w:t>
      </w:r>
      <w:r w:rsidR="00C23E7F">
        <w:rPr>
          <w:sz w:val="22"/>
          <w:szCs w:val="22"/>
        </w:rPr>
        <w:t>zerv a rozvoje</w:t>
      </w:r>
      <w:r w:rsidRPr="00BC34DA">
        <w:rPr>
          <w:sz w:val="22"/>
          <w:szCs w:val="22"/>
        </w:rPr>
        <w:t xml:space="preserve"> o 100 mil.</w:t>
      </w:r>
      <w:r w:rsidR="005E1108">
        <w:rPr>
          <w:sz w:val="22"/>
          <w:szCs w:val="22"/>
        </w:rPr>
        <w:t> Kč</w:t>
      </w:r>
      <w:r w:rsidR="00747B92">
        <w:rPr>
          <w:sz w:val="22"/>
          <w:szCs w:val="22"/>
        </w:rPr>
        <w:t xml:space="preserve"> ze zdaňované činnosti.</w:t>
      </w:r>
      <w:r w:rsidRPr="00BC34DA">
        <w:rPr>
          <w:sz w:val="22"/>
          <w:szCs w:val="22"/>
        </w:rPr>
        <w:t xml:space="preserve"> Tato částka byla převedena prostřednictvím této položky z</w:t>
      </w:r>
      <w:r w:rsidR="005E1957">
        <w:rPr>
          <w:sz w:val="22"/>
          <w:szCs w:val="22"/>
        </w:rPr>
        <w:t> výsledku hospodaření</w:t>
      </w:r>
      <w:r w:rsidRPr="00BC34DA">
        <w:rPr>
          <w:sz w:val="22"/>
          <w:szCs w:val="22"/>
        </w:rPr>
        <w:t xml:space="preserve"> z minulých účetních období a následně převedena do fo</w:t>
      </w:r>
      <w:r w:rsidR="00F164A3">
        <w:rPr>
          <w:sz w:val="22"/>
          <w:szCs w:val="22"/>
        </w:rPr>
        <w:t>ndu rezerv a rozvoje.</w:t>
      </w:r>
    </w:p>
    <w:p w:rsidR="00F164A3" w:rsidRPr="00BC34DA" w:rsidRDefault="00F164A3" w:rsidP="000920D2">
      <w:pPr>
        <w:jc w:val="both"/>
        <w:rPr>
          <w:sz w:val="22"/>
          <w:szCs w:val="22"/>
        </w:rPr>
      </w:pPr>
    </w:p>
    <w:p w:rsidR="00C23E7F" w:rsidRDefault="009A55AF" w:rsidP="0063342B">
      <w:pPr>
        <w:jc w:val="both"/>
        <w:rPr>
          <w:i/>
          <w:sz w:val="22"/>
          <w:szCs w:val="22"/>
        </w:rPr>
      </w:pPr>
      <w:r w:rsidRPr="00C23E7F">
        <w:rPr>
          <w:b/>
          <w:sz w:val="22"/>
          <w:szCs w:val="22"/>
        </w:rPr>
        <w:t>Investiční přijaté transfery</w:t>
      </w:r>
    </w:p>
    <w:p w:rsidR="0063342B" w:rsidRPr="000B6E35" w:rsidRDefault="009A55AF" w:rsidP="0063342B">
      <w:pPr>
        <w:jc w:val="both"/>
        <w:rPr>
          <w:sz w:val="22"/>
          <w:szCs w:val="22"/>
        </w:rPr>
      </w:pPr>
      <w:r w:rsidRPr="00E01ECE">
        <w:rPr>
          <w:i/>
          <w:sz w:val="22"/>
          <w:szCs w:val="22"/>
        </w:rPr>
        <w:t>ze státních fondů – pol. 4213, ze státního rozpočtu – pol. 4216</w:t>
      </w:r>
      <w:r w:rsidR="00F164A3">
        <w:rPr>
          <w:i/>
          <w:sz w:val="22"/>
          <w:szCs w:val="22"/>
        </w:rPr>
        <w:t>:</w:t>
      </w:r>
      <w:r w:rsidR="00AA76C9">
        <w:rPr>
          <w:i/>
          <w:sz w:val="22"/>
          <w:szCs w:val="22"/>
        </w:rPr>
        <w:t xml:space="preserve"> </w:t>
      </w:r>
      <w:r>
        <w:rPr>
          <w:sz w:val="22"/>
          <w:szCs w:val="22"/>
        </w:rPr>
        <w:t>m</w:t>
      </w:r>
      <w:r w:rsidR="0063342B" w:rsidRPr="000B6E35">
        <w:rPr>
          <w:sz w:val="22"/>
          <w:szCs w:val="22"/>
        </w:rPr>
        <w:t xml:space="preserve">ěstská část přijala </w:t>
      </w:r>
      <w:r w:rsidR="0063342B">
        <w:rPr>
          <w:sz w:val="22"/>
          <w:szCs w:val="22"/>
        </w:rPr>
        <w:t>investiční účel</w:t>
      </w:r>
      <w:r w:rsidR="0063342B">
        <w:rPr>
          <w:sz w:val="22"/>
          <w:szCs w:val="22"/>
        </w:rPr>
        <w:t>o</w:t>
      </w:r>
      <w:r w:rsidR="0063342B">
        <w:rPr>
          <w:sz w:val="22"/>
          <w:szCs w:val="22"/>
        </w:rPr>
        <w:t>vou dotaci v rámci Operačního programu Životní prostředí, Prioritní osa 3 – Udržitelné využívání zdrojů energie, oblast podpory – realizace úspor energie a využití tepla – Zateplení MŠ U železničního mostu v celkové výši 2.003.129,10</w:t>
      </w:r>
      <w:r w:rsidR="005E1108">
        <w:rPr>
          <w:sz w:val="22"/>
          <w:szCs w:val="22"/>
        </w:rPr>
        <w:t> Kč</w:t>
      </w:r>
      <w:r w:rsidR="0063342B">
        <w:rPr>
          <w:sz w:val="22"/>
          <w:szCs w:val="22"/>
        </w:rPr>
        <w:t>, z toho podíl SFŽP 111</w:t>
      </w:r>
      <w:r>
        <w:rPr>
          <w:sz w:val="22"/>
          <w:szCs w:val="22"/>
        </w:rPr>
        <w:t>.284,95</w:t>
      </w:r>
      <w:r w:rsidR="005E1108">
        <w:rPr>
          <w:sz w:val="22"/>
          <w:szCs w:val="22"/>
        </w:rPr>
        <w:t> Kč</w:t>
      </w:r>
      <w:r>
        <w:rPr>
          <w:sz w:val="22"/>
          <w:szCs w:val="22"/>
        </w:rPr>
        <w:t xml:space="preserve"> a</w:t>
      </w:r>
      <w:r w:rsidR="00AA76C9">
        <w:rPr>
          <w:sz w:val="22"/>
          <w:szCs w:val="22"/>
        </w:rPr>
        <w:t xml:space="preserve"> </w:t>
      </w:r>
      <w:r w:rsidR="0063342B">
        <w:rPr>
          <w:sz w:val="22"/>
          <w:szCs w:val="22"/>
        </w:rPr>
        <w:t>podíl ze státního rozpočtu činil 1.891</w:t>
      </w:r>
      <w:r>
        <w:rPr>
          <w:sz w:val="22"/>
          <w:szCs w:val="22"/>
        </w:rPr>
        <w:t>.</w:t>
      </w:r>
      <w:r w:rsidR="00175067">
        <w:rPr>
          <w:sz w:val="22"/>
          <w:szCs w:val="22"/>
        </w:rPr>
        <w:t>844,15</w:t>
      </w:r>
      <w:r w:rsidR="005E1108">
        <w:rPr>
          <w:sz w:val="22"/>
          <w:szCs w:val="22"/>
        </w:rPr>
        <w:t> Kč</w:t>
      </w:r>
      <w:r w:rsidR="00C23E7F">
        <w:rPr>
          <w:sz w:val="22"/>
          <w:szCs w:val="22"/>
        </w:rPr>
        <w:t>.</w:t>
      </w:r>
    </w:p>
    <w:p w:rsidR="0063342B" w:rsidRDefault="0063342B" w:rsidP="0063342B">
      <w:pPr>
        <w:rPr>
          <w:rStyle w:val="Siln"/>
          <w:sz w:val="22"/>
          <w:szCs w:val="22"/>
        </w:rPr>
      </w:pPr>
    </w:p>
    <w:p w:rsidR="00830B14" w:rsidRDefault="00830B14" w:rsidP="00830B14">
      <w:pPr>
        <w:jc w:val="both"/>
        <w:rPr>
          <w:sz w:val="22"/>
          <w:szCs w:val="22"/>
        </w:rPr>
      </w:pPr>
      <w:r>
        <w:rPr>
          <w:sz w:val="22"/>
          <w:szCs w:val="22"/>
        </w:rPr>
        <w:t>V</w:t>
      </w:r>
      <w:r w:rsidRPr="000A7DF2">
        <w:rPr>
          <w:sz w:val="22"/>
          <w:szCs w:val="22"/>
        </w:rPr>
        <w:t xml:space="preserve"> příloze č. </w:t>
      </w:r>
      <w:r w:rsidR="00420876">
        <w:rPr>
          <w:sz w:val="22"/>
          <w:szCs w:val="22"/>
        </w:rPr>
        <w:t>2</w:t>
      </w:r>
      <w:r w:rsidRPr="000A7DF2">
        <w:rPr>
          <w:sz w:val="22"/>
          <w:szCs w:val="22"/>
        </w:rPr>
        <w:t xml:space="preserve"> je uveden celkový přehled přijatých účelových </w:t>
      </w:r>
      <w:r>
        <w:rPr>
          <w:sz w:val="22"/>
          <w:szCs w:val="22"/>
        </w:rPr>
        <w:t>transferů</w:t>
      </w:r>
      <w:r w:rsidRPr="000A7DF2">
        <w:rPr>
          <w:sz w:val="22"/>
          <w:szCs w:val="22"/>
        </w:rPr>
        <w:t xml:space="preserve"> ze státního rozpočtu a rozpočtu hl. m. Prahy za rok 201</w:t>
      </w:r>
      <w:r>
        <w:rPr>
          <w:sz w:val="22"/>
          <w:szCs w:val="22"/>
        </w:rPr>
        <w:t>3</w:t>
      </w:r>
      <w:r w:rsidRPr="000A7DF2">
        <w:rPr>
          <w:sz w:val="22"/>
          <w:szCs w:val="22"/>
        </w:rPr>
        <w:t xml:space="preserve"> včetně jejich čerpání.</w:t>
      </w:r>
    </w:p>
    <w:p w:rsidR="00830B14" w:rsidRDefault="00830B14" w:rsidP="000920D2">
      <w:pPr>
        <w:jc w:val="both"/>
        <w:rPr>
          <w:sz w:val="22"/>
          <w:szCs w:val="22"/>
        </w:rPr>
      </w:pPr>
    </w:p>
    <w:p w:rsidR="00C24828" w:rsidRPr="00A075AF" w:rsidRDefault="00C24828" w:rsidP="00C24828">
      <w:pPr>
        <w:jc w:val="both"/>
        <w:rPr>
          <w:b/>
          <w:sz w:val="22"/>
          <w:szCs w:val="22"/>
        </w:rPr>
      </w:pPr>
      <w:r w:rsidRPr="00C24828">
        <w:rPr>
          <w:b/>
          <w:sz w:val="22"/>
          <w:szCs w:val="22"/>
        </w:rPr>
        <w:t>Dr</w:t>
      </w:r>
      <w:r w:rsidR="0004552C">
        <w:rPr>
          <w:b/>
          <w:sz w:val="22"/>
          <w:szCs w:val="22"/>
        </w:rPr>
        <w:t>uhové plnění příjmů za rok 2013</w:t>
      </w:r>
      <w:r w:rsidR="00F133D5">
        <w:rPr>
          <w:b/>
          <w:sz w:val="22"/>
          <w:szCs w:val="22"/>
        </w:rPr>
        <w:t xml:space="preserve"> - celkový přehled</w:t>
      </w:r>
    </w:p>
    <w:p w:rsidR="00C24828" w:rsidRPr="00507E34" w:rsidRDefault="005E1108" w:rsidP="005E1108">
      <w:pPr>
        <w:jc w:val="right"/>
        <w:rPr>
          <w:sz w:val="22"/>
          <w:szCs w:val="22"/>
        </w:rPr>
      </w:pPr>
      <w:r w:rsidRPr="00507E34">
        <w:rPr>
          <w:sz w:val="22"/>
          <w:szCs w:val="22"/>
        </w:rPr>
        <w:t>v tis. Kč</w:t>
      </w:r>
    </w:p>
    <w:tbl>
      <w:tblPr>
        <w:tblW w:w="9072" w:type="dxa"/>
        <w:tblInd w:w="70" w:type="dxa"/>
        <w:tblLayout w:type="fixed"/>
        <w:tblCellMar>
          <w:left w:w="70" w:type="dxa"/>
          <w:right w:w="70" w:type="dxa"/>
        </w:tblCellMar>
        <w:tblLook w:val="04A0"/>
      </w:tblPr>
      <w:tblGrid>
        <w:gridCol w:w="2268"/>
        <w:gridCol w:w="1134"/>
        <w:gridCol w:w="993"/>
        <w:gridCol w:w="850"/>
        <w:gridCol w:w="992"/>
        <w:gridCol w:w="993"/>
        <w:gridCol w:w="850"/>
        <w:gridCol w:w="992"/>
      </w:tblGrid>
      <w:tr w:rsidR="00E901C7" w:rsidRPr="00C24828" w:rsidTr="005E2BA1">
        <w:trPr>
          <w:trHeight w:val="957"/>
        </w:trPr>
        <w:tc>
          <w:tcPr>
            <w:tcW w:w="226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C24828" w:rsidRPr="00C24828" w:rsidRDefault="00C24828" w:rsidP="00C24828">
            <w:pPr>
              <w:jc w:val="center"/>
              <w:rPr>
                <w:b/>
                <w:bCs/>
                <w:sz w:val="18"/>
                <w:szCs w:val="18"/>
              </w:rPr>
            </w:pPr>
            <w:r w:rsidRPr="00C24828">
              <w:rPr>
                <w:b/>
                <w:bCs/>
                <w:sz w:val="18"/>
                <w:szCs w:val="18"/>
              </w:rPr>
              <w:t xml:space="preserve">Druh příjmů </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C24828" w:rsidRDefault="00C24828" w:rsidP="00C24828">
            <w:pPr>
              <w:jc w:val="center"/>
              <w:rPr>
                <w:b/>
                <w:bCs/>
                <w:sz w:val="18"/>
                <w:szCs w:val="18"/>
              </w:rPr>
            </w:pPr>
            <w:r w:rsidRPr="00C24828">
              <w:rPr>
                <w:b/>
                <w:bCs/>
                <w:sz w:val="18"/>
                <w:szCs w:val="18"/>
              </w:rPr>
              <w:t xml:space="preserve">Schválený rozpočet </w:t>
            </w:r>
          </w:p>
          <w:p w:rsidR="00C24828" w:rsidRPr="00C24828" w:rsidRDefault="00C24828" w:rsidP="00C24828">
            <w:pPr>
              <w:jc w:val="center"/>
              <w:rPr>
                <w:b/>
                <w:bCs/>
                <w:sz w:val="18"/>
                <w:szCs w:val="18"/>
              </w:rPr>
            </w:pPr>
            <w:r w:rsidRPr="00C24828">
              <w:rPr>
                <w:b/>
                <w:bCs/>
                <w:sz w:val="18"/>
                <w:szCs w:val="18"/>
              </w:rPr>
              <w:t xml:space="preserve">2013 </w:t>
            </w:r>
          </w:p>
        </w:tc>
        <w:tc>
          <w:tcPr>
            <w:tcW w:w="993"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C24828" w:rsidRPr="00C24828" w:rsidRDefault="00C24828" w:rsidP="00DB01A1">
            <w:pPr>
              <w:jc w:val="center"/>
              <w:rPr>
                <w:b/>
                <w:bCs/>
                <w:sz w:val="18"/>
                <w:szCs w:val="18"/>
              </w:rPr>
            </w:pPr>
            <w:r w:rsidRPr="00C24828">
              <w:rPr>
                <w:b/>
                <w:bCs/>
                <w:sz w:val="18"/>
                <w:szCs w:val="18"/>
              </w:rPr>
              <w:t>Upravený rozpočet 2013</w:t>
            </w:r>
          </w:p>
        </w:tc>
        <w:tc>
          <w:tcPr>
            <w:tcW w:w="85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C24828" w:rsidRDefault="00C24828" w:rsidP="00F164A3">
            <w:pPr>
              <w:jc w:val="center"/>
              <w:rPr>
                <w:b/>
                <w:bCs/>
                <w:sz w:val="18"/>
                <w:szCs w:val="18"/>
              </w:rPr>
            </w:pPr>
            <w:r w:rsidRPr="00C24828">
              <w:rPr>
                <w:b/>
                <w:bCs/>
                <w:sz w:val="18"/>
                <w:szCs w:val="18"/>
              </w:rPr>
              <w:t>UR</w:t>
            </w:r>
          </w:p>
          <w:p w:rsidR="00C24828" w:rsidRPr="00C24828" w:rsidRDefault="00C24828" w:rsidP="00F164A3">
            <w:pPr>
              <w:jc w:val="center"/>
              <w:rPr>
                <w:b/>
                <w:bCs/>
                <w:sz w:val="18"/>
                <w:szCs w:val="18"/>
              </w:rPr>
            </w:pPr>
            <w:r w:rsidRPr="00C24828">
              <w:rPr>
                <w:b/>
                <w:bCs/>
                <w:sz w:val="18"/>
                <w:szCs w:val="18"/>
              </w:rPr>
              <w:t>% z celku</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C24828" w:rsidRPr="00C24828" w:rsidRDefault="00C24828" w:rsidP="00C24828">
            <w:pPr>
              <w:jc w:val="center"/>
              <w:rPr>
                <w:b/>
                <w:bCs/>
                <w:sz w:val="18"/>
                <w:szCs w:val="18"/>
              </w:rPr>
            </w:pPr>
            <w:r w:rsidRPr="00C24828">
              <w:rPr>
                <w:b/>
                <w:bCs/>
                <w:sz w:val="18"/>
                <w:szCs w:val="18"/>
              </w:rPr>
              <w:t>Skutečnost k 31.12.2013</w:t>
            </w:r>
          </w:p>
        </w:tc>
        <w:tc>
          <w:tcPr>
            <w:tcW w:w="993"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C24828" w:rsidRDefault="00C24828" w:rsidP="00C24828">
            <w:pPr>
              <w:jc w:val="center"/>
              <w:rPr>
                <w:b/>
                <w:bCs/>
                <w:sz w:val="18"/>
                <w:szCs w:val="18"/>
              </w:rPr>
            </w:pPr>
            <w:r w:rsidRPr="00C24828">
              <w:rPr>
                <w:b/>
                <w:bCs/>
                <w:sz w:val="18"/>
                <w:szCs w:val="18"/>
              </w:rPr>
              <w:t>Skutečnost %</w:t>
            </w:r>
          </w:p>
          <w:p w:rsidR="00C24828" w:rsidRPr="00C24828" w:rsidRDefault="00C24828" w:rsidP="00C24828">
            <w:pPr>
              <w:jc w:val="center"/>
              <w:rPr>
                <w:b/>
                <w:bCs/>
                <w:sz w:val="18"/>
                <w:szCs w:val="18"/>
              </w:rPr>
            </w:pPr>
            <w:r w:rsidRPr="00C24828">
              <w:rPr>
                <w:b/>
                <w:bCs/>
                <w:sz w:val="18"/>
                <w:szCs w:val="18"/>
              </w:rPr>
              <w:t xml:space="preserve"> z celku </w:t>
            </w:r>
          </w:p>
        </w:tc>
        <w:tc>
          <w:tcPr>
            <w:tcW w:w="850" w:type="dxa"/>
            <w:tcBorders>
              <w:top w:val="single" w:sz="4" w:space="0" w:color="auto"/>
              <w:left w:val="single" w:sz="4" w:space="0" w:color="auto"/>
              <w:bottom w:val="single" w:sz="4" w:space="0" w:color="auto"/>
              <w:right w:val="single" w:sz="4" w:space="0" w:color="auto"/>
            </w:tcBorders>
            <w:shd w:val="clear" w:color="auto" w:fill="EEECE1"/>
            <w:vAlign w:val="center"/>
          </w:tcPr>
          <w:p w:rsidR="00C24828" w:rsidRDefault="00C24828" w:rsidP="00C24828">
            <w:pPr>
              <w:jc w:val="center"/>
              <w:rPr>
                <w:b/>
                <w:bCs/>
                <w:sz w:val="18"/>
                <w:szCs w:val="18"/>
              </w:rPr>
            </w:pPr>
            <w:r w:rsidRPr="00C24828">
              <w:rPr>
                <w:b/>
                <w:bCs/>
                <w:sz w:val="18"/>
                <w:szCs w:val="18"/>
              </w:rPr>
              <w:t xml:space="preserve">% </w:t>
            </w:r>
          </w:p>
          <w:p w:rsidR="00C24828" w:rsidRDefault="00C24828" w:rsidP="00C24828">
            <w:pPr>
              <w:jc w:val="center"/>
              <w:rPr>
                <w:b/>
                <w:bCs/>
                <w:sz w:val="18"/>
                <w:szCs w:val="18"/>
              </w:rPr>
            </w:pPr>
            <w:r w:rsidRPr="00C24828">
              <w:rPr>
                <w:b/>
                <w:bCs/>
                <w:sz w:val="18"/>
                <w:szCs w:val="18"/>
              </w:rPr>
              <w:t xml:space="preserve">plnění </w:t>
            </w:r>
          </w:p>
          <w:p w:rsidR="00C24828" w:rsidRPr="00C24828" w:rsidRDefault="00C24828" w:rsidP="00C24828">
            <w:pPr>
              <w:jc w:val="center"/>
              <w:rPr>
                <w:b/>
                <w:bCs/>
                <w:sz w:val="18"/>
                <w:szCs w:val="18"/>
              </w:rPr>
            </w:pPr>
            <w:r w:rsidRPr="00C24828">
              <w:rPr>
                <w:b/>
                <w:bCs/>
                <w:sz w:val="18"/>
                <w:szCs w:val="18"/>
              </w:rPr>
              <w:t>k UR</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C24828" w:rsidRPr="00C24828" w:rsidRDefault="00C24828" w:rsidP="00C24828">
            <w:pPr>
              <w:jc w:val="center"/>
              <w:rPr>
                <w:b/>
                <w:bCs/>
                <w:sz w:val="18"/>
                <w:szCs w:val="18"/>
              </w:rPr>
            </w:pPr>
            <w:r w:rsidRPr="00C24828">
              <w:rPr>
                <w:b/>
                <w:bCs/>
                <w:sz w:val="18"/>
                <w:szCs w:val="18"/>
              </w:rPr>
              <w:t>Plnění k 31.12.2012</w:t>
            </w:r>
          </w:p>
        </w:tc>
      </w:tr>
      <w:tr w:rsidR="00E901C7" w:rsidRPr="00C24828" w:rsidTr="008D1041">
        <w:trPr>
          <w:trHeight w:val="315"/>
        </w:trPr>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4828" w:rsidRPr="00C24828" w:rsidRDefault="00C24828" w:rsidP="00C24828">
            <w:pPr>
              <w:rPr>
                <w:sz w:val="18"/>
                <w:szCs w:val="18"/>
              </w:rPr>
            </w:pPr>
            <w:r w:rsidRPr="00C24828">
              <w:rPr>
                <w:sz w:val="18"/>
                <w:szCs w:val="18"/>
              </w:rPr>
              <w:t xml:space="preserve">Třída 1 - příjmy daňové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24828" w:rsidRPr="00C24828" w:rsidRDefault="00C24828" w:rsidP="00C24828">
            <w:pPr>
              <w:jc w:val="right"/>
              <w:rPr>
                <w:sz w:val="18"/>
                <w:szCs w:val="18"/>
              </w:rPr>
            </w:pPr>
            <w:r w:rsidRPr="00C24828">
              <w:rPr>
                <w:sz w:val="18"/>
                <w:szCs w:val="18"/>
              </w:rPr>
              <w:t>77 020,0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24828" w:rsidRPr="00C24828" w:rsidRDefault="00C24828" w:rsidP="00C24828">
            <w:pPr>
              <w:jc w:val="right"/>
              <w:rPr>
                <w:sz w:val="18"/>
                <w:szCs w:val="18"/>
              </w:rPr>
            </w:pPr>
            <w:r w:rsidRPr="00C24828">
              <w:rPr>
                <w:sz w:val="18"/>
                <w:szCs w:val="18"/>
              </w:rPr>
              <w:t>77 486,0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24828" w:rsidRPr="00C24828" w:rsidRDefault="00C24828" w:rsidP="00F164A3">
            <w:pPr>
              <w:jc w:val="center"/>
              <w:rPr>
                <w:sz w:val="18"/>
                <w:szCs w:val="18"/>
              </w:rPr>
            </w:pPr>
            <w:r w:rsidRPr="00C24828">
              <w:rPr>
                <w:sz w:val="18"/>
                <w:szCs w:val="18"/>
              </w:rPr>
              <w:t>9,4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24828" w:rsidRPr="00C24828" w:rsidRDefault="00C24828" w:rsidP="00C24828">
            <w:pPr>
              <w:jc w:val="right"/>
              <w:rPr>
                <w:sz w:val="18"/>
                <w:szCs w:val="18"/>
              </w:rPr>
            </w:pPr>
            <w:r w:rsidRPr="00C24828">
              <w:rPr>
                <w:sz w:val="18"/>
                <w:szCs w:val="18"/>
              </w:rPr>
              <w:t>75 770,0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C24828" w:rsidRPr="00C24828" w:rsidRDefault="00C24828" w:rsidP="0004552C">
            <w:pPr>
              <w:jc w:val="center"/>
              <w:rPr>
                <w:sz w:val="18"/>
                <w:szCs w:val="18"/>
              </w:rPr>
            </w:pPr>
            <w:r w:rsidRPr="00C24828">
              <w:rPr>
                <w:sz w:val="18"/>
                <w:szCs w:val="18"/>
              </w:rPr>
              <w:t>9,6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C24828" w:rsidRPr="00C24828" w:rsidRDefault="00C24828" w:rsidP="0004552C">
            <w:pPr>
              <w:jc w:val="center"/>
              <w:rPr>
                <w:sz w:val="18"/>
                <w:szCs w:val="18"/>
              </w:rPr>
            </w:pPr>
            <w:r w:rsidRPr="00C24828">
              <w:rPr>
                <w:sz w:val="18"/>
                <w:szCs w:val="18"/>
              </w:rPr>
              <w:t>97,8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4828" w:rsidRPr="00C24828" w:rsidRDefault="00C24828" w:rsidP="00C24828">
            <w:pPr>
              <w:jc w:val="right"/>
              <w:rPr>
                <w:sz w:val="18"/>
                <w:szCs w:val="18"/>
              </w:rPr>
            </w:pPr>
            <w:r w:rsidRPr="00C24828">
              <w:rPr>
                <w:sz w:val="18"/>
                <w:szCs w:val="18"/>
              </w:rPr>
              <w:t>75 958,2</w:t>
            </w:r>
          </w:p>
        </w:tc>
      </w:tr>
      <w:tr w:rsidR="00E901C7" w:rsidRPr="00C24828" w:rsidTr="008D1041">
        <w:trPr>
          <w:trHeight w:val="33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C24828" w:rsidRPr="00C24828" w:rsidRDefault="00C24828" w:rsidP="00C24828">
            <w:pPr>
              <w:rPr>
                <w:sz w:val="18"/>
                <w:szCs w:val="18"/>
              </w:rPr>
            </w:pPr>
            <w:r w:rsidRPr="00C24828">
              <w:rPr>
                <w:sz w:val="18"/>
                <w:szCs w:val="18"/>
              </w:rPr>
              <w:t xml:space="preserve">Třída 2 - příjmy nedaňové </w:t>
            </w:r>
          </w:p>
        </w:tc>
        <w:tc>
          <w:tcPr>
            <w:tcW w:w="1134" w:type="dxa"/>
            <w:tcBorders>
              <w:top w:val="nil"/>
              <w:left w:val="nil"/>
              <w:bottom w:val="single" w:sz="4" w:space="0" w:color="auto"/>
              <w:right w:val="single" w:sz="4" w:space="0" w:color="auto"/>
            </w:tcBorders>
            <w:shd w:val="clear" w:color="000000" w:fill="FFFFFF"/>
            <w:vAlign w:val="center"/>
            <w:hideMark/>
          </w:tcPr>
          <w:p w:rsidR="00C24828" w:rsidRPr="00C24828" w:rsidRDefault="00C24828" w:rsidP="00C24828">
            <w:pPr>
              <w:jc w:val="right"/>
              <w:rPr>
                <w:sz w:val="18"/>
                <w:szCs w:val="18"/>
              </w:rPr>
            </w:pPr>
            <w:r w:rsidRPr="00C24828">
              <w:rPr>
                <w:sz w:val="18"/>
                <w:szCs w:val="18"/>
              </w:rPr>
              <w:t>8 300,0</w:t>
            </w:r>
          </w:p>
        </w:tc>
        <w:tc>
          <w:tcPr>
            <w:tcW w:w="993" w:type="dxa"/>
            <w:tcBorders>
              <w:top w:val="nil"/>
              <w:left w:val="nil"/>
              <w:bottom w:val="single" w:sz="4" w:space="0" w:color="auto"/>
              <w:right w:val="single" w:sz="4" w:space="0" w:color="auto"/>
            </w:tcBorders>
            <w:shd w:val="clear" w:color="000000" w:fill="FFFFFF"/>
            <w:vAlign w:val="center"/>
            <w:hideMark/>
          </w:tcPr>
          <w:p w:rsidR="00C24828" w:rsidRPr="00C24828" w:rsidRDefault="00C24828" w:rsidP="00C24828">
            <w:pPr>
              <w:jc w:val="right"/>
              <w:rPr>
                <w:sz w:val="18"/>
                <w:szCs w:val="18"/>
              </w:rPr>
            </w:pPr>
            <w:r w:rsidRPr="00C24828">
              <w:rPr>
                <w:sz w:val="18"/>
                <w:szCs w:val="18"/>
              </w:rPr>
              <w:t>9 946,3</w:t>
            </w:r>
          </w:p>
        </w:tc>
        <w:tc>
          <w:tcPr>
            <w:tcW w:w="850" w:type="dxa"/>
            <w:tcBorders>
              <w:top w:val="nil"/>
              <w:left w:val="nil"/>
              <w:bottom w:val="single" w:sz="4" w:space="0" w:color="auto"/>
              <w:right w:val="single" w:sz="4" w:space="0" w:color="auto"/>
            </w:tcBorders>
            <w:shd w:val="clear" w:color="000000" w:fill="FFFFFF"/>
            <w:vAlign w:val="center"/>
            <w:hideMark/>
          </w:tcPr>
          <w:p w:rsidR="00C24828" w:rsidRPr="00C24828" w:rsidRDefault="00C24828" w:rsidP="00F164A3">
            <w:pPr>
              <w:jc w:val="center"/>
              <w:rPr>
                <w:sz w:val="18"/>
                <w:szCs w:val="18"/>
              </w:rPr>
            </w:pPr>
            <w:r w:rsidRPr="00C24828">
              <w:rPr>
                <w:sz w:val="18"/>
                <w:szCs w:val="18"/>
              </w:rPr>
              <w:t>1,2</w:t>
            </w:r>
          </w:p>
        </w:tc>
        <w:tc>
          <w:tcPr>
            <w:tcW w:w="992" w:type="dxa"/>
            <w:tcBorders>
              <w:top w:val="nil"/>
              <w:left w:val="nil"/>
              <w:bottom w:val="single" w:sz="4" w:space="0" w:color="auto"/>
              <w:right w:val="single" w:sz="4" w:space="0" w:color="auto"/>
            </w:tcBorders>
            <w:shd w:val="clear" w:color="000000" w:fill="FFFFFF"/>
            <w:vAlign w:val="center"/>
            <w:hideMark/>
          </w:tcPr>
          <w:p w:rsidR="00C24828" w:rsidRPr="00C24828" w:rsidRDefault="00C24828" w:rsidP="00C24828">
            <w:pPr>
              <w:jc w:val="right"/>
              <w:rPr>
                <w:sz w:val="18"/>
                <w:szCs w:val="18"/>
              </w:rPr>
            </w:pPr>
            <w:r w:rsidRPr="00C24828">
              <w:rPr>
                <w:sz w:val="18"/>
                <w:szCs w:val="18"/>
              </w:rPr>
              <w:t>10 930,0</w:t>
            </w:r>
          </w:p>
        </w:tc>
        <w:tc>
          <w:tcPr>
            <w:tcW w:w="993" w:type="dxa"/>
            <w:tcBorders>
              <w:top w:val="nil"/>
              <w:left w:val="nil"/>
              <w:bottom w:val="single" w:sz="4" w:space="0" w:color="auto"/>
              <w:right w:val="single" w:sz="4" w:space="0" w:color="auto"/>
            </w:tcBorders>
            <w:shd w:val="clear" w:color="000000" w:fill="FFFFFF"/>
            <w:vAlign w:val="center"/>
            <w:hideMark/>
          </w:tcPr>
          <w:p w:rsidR="00C24828" w:rsidRPr="00C24828" w:rsidRDefault="00C24828" w:rsidP="0004552C">
            <w:pPr>
              <w:jc w:val="center"/>
              <w:rPr>
                <w:sz w:val="18"/>
                <w:szCs w:val="18"/>
              </w:rPr>
            </w:pPr>
            <w:r w:rsidRPr="00C24828">
              <w:rPr>
                <w:sz w:val="18"/>
                <w:szCs w:val="18"/>
              </w:rPr>
              <w:t>1,4</w:t>
            </w:r>
          </w:p>
        </w:tc>
        <w:tc>
          <w:tcPr>
            <w:tcW w:w="850" w:type="dxa"/>
            <w:tcBorders>
              <w:top w:val="nil"/>
              <w:left w:val="nil"/>
              <w:bottom w:val="single" w:sz="4" w:space="0" w:color="auto"/>
              <w:right w:val="single" w:sz="4" w:space="0" w:color="auto"/>
            </w:tcBorders>
            <w:shd w:val="clear" w:color="000000" w:fill="FFFFFF"/>
            <w:vAlign w:val="center"/>
          </w:tcPr>
          <w:p w:rsidR="00C24828" w:rsidRPr="00C24828" w:rsidRDefault="00C24828" w:rsidP="0004552C">
            <w:pPr>
              <w:jc w:val="center"/>
              <w:rPr>
                <w:sz w:val="18"/>
                <w:szCs w:val="18"/>
              </w:rPr>
            </w:pPr>
            <w:r w:rsidRPr="00C24828">
              <w:rPr>
                <w:sz w:val="18"/>
                <w:szCs w:val="18"/>
              </w:rPr>
              <w:t>109,9</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24828" w:rsidRPr="00C24828" w:rsidRDefault="00C24828" w:rsidP="00C24828">
            <w:pPr>
              <w:jc w:val="right"/>
              <w:rPr>
                <w:sz w:val="18"/>
                <w:szCs w:val="18"/>
              </w:rPr>
            </w:pPr>
            <w:r w:rsidRPr="00C24828">
              <w:rPr>
                <w:sz w:val="18"/>
                <w:szCs w:val="18"/>
              </w:rPr>
              <w:t>11 135,7</w:t>
            </w:r>
          </w:p>
        </w:tc>
      </w:tr>
      <w:tr w:rsidR="00E901C7" w:rsidRPr="00C24828" w:rsidTr="008D1041">
        <w:trPr>
          <w:trHeight w:val="31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C24828" w:rsidRPr="00C24828" w:rsidRDefault="00C24828" w:rsidP="00C24828">
            <w:pPr>
              <w:rPr>
                <w:sz w:val="18"/>
                <w:szCs w:val="18"/>
              </w:rPr>
            </w:pPr>
            <w:r w:rsidRPr="00C24828">
              <w:rPr>
                <w:sz w:val="18"/>
                <w:szCs w:val="18"/>
              </w:rPr>
              <w:t>Třída 3 - příjmy kapitálové</w:t>
            </w:r>
          </w:p>
        </w:tc>
        <w:tc>
          <w:tcPr>
            <w:tcW w:w="1134" w:type="dxa"/>
            <w:tcBorders>
              <w:top w:val="nil"/>
              <w:left w:val="nil"/>
              <w:bottom w:val="single" w:sz="4" w:space="0" w:color="auto"/>
              <w:right w:val="single" w:sz="4" w:space="0" w:color="auto"/>
            </w:tcBorders>
            <w:shd w:val="clear" w:color="000000" w:fill="FFFFFF"/>
            <w:vAlign w:val="center"/>
            <w:hideMark/>
          </w:tcPr>
          <w:p w:rsidR="00C24828" w:rsidRPr="00C24828" w:rsidRDefault="00C24828" w:rsidP="00C24828">
            <w:pPr>
              <w:jc w:val="right"/>
              <w:rPr>
                <w:sz w:val="18"/>
                <w:szCs w:val="18"/>
              </w:rPr>
            </w:pPr>
            <w:r w:rsidRPr="00C24828">
              <w:rPr>
                <w:sz w:val="18"/>
                <w:szCs w:val="18"/>
              </w:rPr>
              <w:t>0,0</w:t>
            </w:r>
          </w:p>
        </w:tc>
        <w:tc>
          <w:tcPr>
            <w:tcW w:w="993" w:type="dxa"/>
            <w:tcBorders>
              <w:top w:val="nil"/>
              <w:left w:val="nil"/>
              <w:bottom w:val="single" w:sz="4" w:space="0" w:color="auto"/>
              <w:right w:val="single" w:sz="4" w:space="0" w:color="auto"/>
            </w:tcBorders>
            <w:shd w:val="clear" w:color="000000" w:fill="FFFFFF"/>
            <w:vAlign w:val="center"/>
            <w:hideMark/>
          </w:tcPr>
          <w:p w:rsidR="00C24828" w:rsidRPr="00C24828" w:rsidRDefault="00C24828" w:rsidP="00C24828">
            <w:pPr>
              <w:jc w:val="right"/>
              <w:rPr>
                <w:sz w:val="18"/>
                <w:szCs w:val="18"/>
              </w:rPr>
            </w:pPr>
            <w:r w:rsidRPr="00C24828">
              <w:rPr>
                <w:sz w:val="18"/>
                <w:szCs w:val="18"/>
              </w:rPr>
              <w:t>5 156,1</w:t>
            </w:r>
          </w:p>
        </w:tc>
        <w:tc>
          <w:tcPr>
            <w:tcW w:w="850" w:type="dxa"/>
            <w:tcBorders>
              <w:top w:val="nil"/>
              <w:left w:val="nil"/>
              <w:bottom w:val="single" w:sz="4" w:space="0" w:color="auto"/>
              <w:right w:val="single" w:sz="4" w:space="0" w:color="auto"/>
            </w:tcBorders>
            <w:shd w:val="clear" w:color="000000" w:fill="FFFFFF"/>
            <w:vAlign w:val="center"/>
            <w:hideMark/>
          </w:tcPr>
          <w:p w:rsidR="00C24828" w:rsidRPr="00C24828" w:rsidRDefault="00C24828" w:rsidP="00F164A3">
            <w:pPr>
              <w:jc w:val="center"/>
              <w:rPr>
                <w:sz w:val="18"/>
                <w:szCs w:val="18"/>
              </w:rPr>
            </w:pPr>
            <w:r w:rsidRPr="00C24828">
              <w:rPr>
                <w:sz w:val="18"/>
                <w:szCs w:val="18"/>
              </w:rPr>
              <w:t>0,6</w:t>
            </w:r>
          </w:p>
        </w:tc>
        <w:tc>
          <w:tcPr>
            <w:tcW w:w="992" w:type="dxa"/>
            <w:tcBorders>
              <w:top w:val="nil"/>
              <w:left w:val="nil"/>
              <w:bottom w:val="single" w:sz="4" w:space="0" w:color="auto"/>
              <w:right w:val="single" w:sz="4" w:space="0" w:color="auto"/>
            </w:tcBorders>
            <w:shd w:val="clear" w:color="000000" w:fill="FFFFFF"/>
            <w:vAlign w:val="center"/>
            <w:hideMark/>
          </w:tcPr>
          <w:p w:rsidR="00C24828" w:rsidRPr="00C24828" w:rsidRDefault="00C24828" w:rsidP="00C24828">
            <w:pPr>
              <w:jc w:val="right"/>
              <w:rPr>
                <w:sz w:val="18"/>
                <w:szCs w:val="18"/>
              </w:rPr>
            </w:pPr>
            <w:r w:rsidRPr="00C24828">
              <w:rPr>
                <w:sz w:val="18"/>
                <w:szCs w:val="18"/>
              </w:rPr>
              <w:t>5 156,1</w:t>
            </w:r>
          </w:p>
        </w:tc>
        <w:tc>
          <w:tcPr>
            <w:tcW w:w="993" w:type="dxa"/>
            <w:tcBorders>
              <w:top w:val="nil"/>
              <w:left w:val="nil"/>
              <w:bottom w:val="single" w:sz="4" w:space="0" w:color="auto"/>
              <w:right w:val="single" w:sz="4" w:space="0" w:color="auto"/>
            </w:tcBorders>
            <w:shd w:val="clear" w:color="000000" w:fill="FFFFFF"/>
            <w:vAlign w:val="center"/>
            <w:hideMark/>
          </w:tcPr>
          <w:p w:rsidR="00C24828" w:rsidRPr="00C24828" w:rsidRDefault="00C24828" w:rsidP="0004552C">
            <w:pPr>
              <w:jc w:val="center"/>
              <w:rPr>
                <w:sz w:val="18"/>
                <w:szCs w:val="18"/>
              </w:rPr>
            </w:pPr>
            <w:r w:rsidRPr="00C24828">
              <w:rPr>
                <w:sz w:val="18"/>
                <w:szCs w:val="18"/>
              </w:rPr>
              <w:t>0,6</w:t>
            </w:r>
          </w:p>
        </w:tc>
        <w:tc>
          <w:tcPr>
            <w:tcW w:w="850" w:type="dxa"/>
            <w:tcBorders>
              <w:top w:val="nil"/>
              <w:left w:val="nil"/>
              <w:bottom w:val="single" w:sz="4" w:space="0" w:color="auto"/>
              <w:right w:val="single" w:sz="4" w:space="0" w:color="auto"/>
            </w:tcBorders>
            <w:shd w:val="clear" w:color="000000" w:fill="FFFFFF"/>
            <w:vAlign w:val="center"/>
          </w:tcPr>
          <w:p w:rsidR="00C24828" w:rsidRPr="00C24828" w:rsidRDefault="00C24828" w:rsidP="0004552C">
            <w:pPr>
              <w:jc w:val="center"/>
              <w:rPr>
                <w:sz w:val="18"/>
                <w:szCs w:val="18"/>
              </w:rPr>
            </w:pPr>
            <w:r w:rsidRPr="00C24828">
              <w:rPr>
                <w:sz w:val="18"/>
                <w:szCs w:val="18"/>
              </w:rPr>
              <w:t>100,0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24828" w:rsidRPr="00C24828" w:rsidRDefault="00C24828" w:rsidP="00C24828">
            <w:pPr>
              <w:jc w:val="right"/>
              <w:rPr>
                <w:sz w:val="18"/>
                <w:szCs w:val="18"/>
              </w:rPr>
            </w:pPr>
            <w:r w:rsidRPr="00C24828">
              <w:rPr>
                <w:sz w:val="18"/>
                <w:szCs w:val="18"/>
              </w:rPr>
              <w:t>1 000,0</w:t>
            </w:r>
          </w:p>
        </w:tc>
      </w:tr>
      <w:tr w:rsidR="00E901C7" w:rsidRPr="00C24828" w:rsidTr="008D1041">
        <w:trPr>
          <w:trHeight w:val="315"/>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C24828" w:rsidRPr="00C24828" w:rsidRDefault="00C24828" w:rsidP="00C24828">
            <w:pPr>
              <w:rPr>
                <w:sz w:val="18"/>
                <w:szCs w:val="18"/>
              </w:rPr>
            </w:pPr>
            <w:r w:rsidRPr="00C24828">
              <w:rPr>
                <w:sz w:val="18"/>
                <w:szCs w:val="18"/>
              </w:rPr>
              <w:t xml:space="preserve">Třída 4 - přijaté transfery: </w:t>
            </w:r>
          </w:p>
        </w:tc>
        <w:tc>
          <w:tcPr>
            <w:tcW w:w="1134" w:type="dxa"/>
            <w:tcBorders>
              <w:top w:val="nil"/>
              <w:left w:val="nil"/>
              <w:bottom w:val="single" w:sz="4" w:space="0" w:color="auto"/>
              <w:right w:val="single" w:sz="4" w:space="0" w:color="auto"/>
            </w:tcBorders>
            <w:shd w:val="clear" w:color="000000" w:fill="FFFFFF"/>
            <w:vAlign w:val="center"/>
            <w:hideMark/>
          </w:tcPr>
          <w:p w:rsidR="00C24828" w:rsidRPr="00C24828" w:rsidRDefault="00C24828" w:rsidP="00C24828">
            <w:pPr>
              <w:jc w:val="right"/>
              <w:rPr>
                <w:sz w:val="18"/>
                <w:szCs w:val="18"/>
              </w:rPr>
            </w:pPr>
            <w:r w:rsidRPr="00C24828">
              <w:rPr>
                <w:sz w:val="18"/>
                <w:szCs w:val="18"/>
              </w:rPr>
              <w:t>496 230,8</w:t>
            </w:r>
          </w:p>
        </w:tc>
        <w:tc>
          <w:tcPr>
            <w:tcW w:w="993" w:type="dxa"/>
            <w:tcBorders>
              <w:top w:val="nil"/>
              <w:left w:val="nil"/>
              <w:bottom w:val="single" w:sz="4" w:space="0" w:color="auto"/>
              <w:right w:val="single" w:sz="4" w:space="0" w:color="auto"/>
            </w:tcBorders>
            <w:shd w:val="clear" w:color="000000" w:fill="FFFFFF"/>
            <w:vAlign w:val="center"/>
            <w:hideMark/>
          </w:tcPr>
          <w:p w:rsidR="00C24828" w:rsidRPr="00C24828" w:rsidRDefault="00C24828" w:rsidP="00C24828">
            <w:pPr>
              <w:jc w:val="right"/>
              <w:rPr>
                <w:sz w:val="18"/>
                <w:szCs w:val="18"/>
              </w:rPr>
            </w:pPr>
            <w:r w:rsidRPr="00C24828">
              <w:rPr>
                <w:sz w:val="18"/>
                <w:szCs w:val="18"/>
              </w:rPr>
              <w:t>727 975,5</w:t>
            </w:r>
          </w:p>
        </w:tc>
        <w:tc>
          <w:tcPr>
            <w:tcW w:w="850" w:type="dxa"/>
            <w:tcBorders>
              <w:top w:val="nil"/>
              <w:left w:val="nil"/>
              <w:bottom w:val="single" w:sz="4" w:space="0" w:color="auto"/>
              <w:right w:val="single" w:sz="4" w:space="0" w:color="auto"/>
            </w:tcBorders>
            <w:shd w:val="clear" w:color="000000" w:fill="FFFFFF"/>
            <w:vAlign w:val="center"/>
            <w:hideMark/>
          </w:tcPr>
          <w:p w:rsidR="00C24828" w:rsidRPr="00C24828" w:rsidRDefault="00C24828" w:rsidP="00F164A3">
            <w:pPr>
              <w:jc w:val="center"/>
              <w:rPr>
                <w:sz w:val="18"/>
                <w:szCs w:val="18"/>
              </w:rPr>
            </w:pPr>
            <w:r w:rsidRPr="00C24828">
              <w:rPr>
                <w:sz w:val="18"/>
                <w:szCs w:val="18"/>
              </w:rPr>
              <w:t>88,7</w:t>
            </w:r>
          </w:p>
        </w:tc>
        <w:tc>
          <w:tcPr>
            <w:tcW w:w="992" w:type="dxa"/>
            <w:tcBorders>
              <w:top w:val="nil"/>
              <w:left w:val="nil"/>
              <w:bottom w:val="single" w:sz="4" w:space="0" w:color="auto"/>
              <w:right w:val="single" w:sz="4" w:space="0" w:color="auto"/>
            </w:tcBorders>
            <w:shd w:val="clear" w:color="000000" w:fill="FFFFFF"/>
            <w:vAlign w:val="center"/>
            <w:hideMark/>
          </w:tcPr>
          <w:p w:rsidR="00C24828" w:rsidRPr="00C24828" w:rsidRDefault="00C24828" w:rsidP="00A838F4">
            <w:pPr>
              <w:jc w:val="right"/>
              <w:rPr>
                <w:sz w:val="18"/>
                <w:szCs w:val="18"/>
              </w:rPr>
            </w:pPr>
            <w:r w:rsidRPr="00C24828">
              <w:rPr>
                <w:sz w:val="18"/>
                <w:szCs w:val="18"/>
              </w:rPr>
              <w:t>699 754,</w:t>
            </w:r>
            <w:r w:rsidR="00A838F4">
              <w:rPr>
                <w:sz w:val="18"/>
                <w:szCs w:val="18"/>
              </w:rPr>
              <w:t>0</w:t>
            </w:r>
          </w:p>
        </w:tc>
        <w:tc>
          <w:tcPr>
            <w:tcW w:w="993" w:type="dxa"/>
            <w:tcBorders>
              <w:top w:val="nil"/>
              <w:left w:val="nil"/>
              <w:bottom w:val="single" w:sz="4" w:space="0" w:color="auto"/>
              <w:right w:val="single" w:sz="4" w:space="0" w:color="auto"/>
            </w:tcBorders>
            <w:shd w:val="clear" w:color="000000" w:fill="FFFFFF"/>
            <w:vAlign w:val="center"/>
            <w:hideMark/>
          </w:tcPr>
          <w:p w:rsidR="00C24828" w:rsidRPr="00C24828" w:rsidRDefault="00C24828" w:rsidP="0004552C">
            <w:pPr>
              <w:jc w:val="center"/>
              <w:rPr>
                <w:sz w:val="18"/>
                <w:szCs w:val="18"/>
              </w:rPr>
            </w:pPr>
            <w:r w:rsidRPr="00C24828">
              <w:rPr>
                <w:sz w:val="18"/>
                <w:szCs w:val="18"/>
              </w:rPr>
              <w:t>88,4</w:t>
            </w:r>
          </w:p>
        </w:tc>
        <w:tc>
          <w:tcPr>
            <w:tcW w:w="850" w:type="dxa"/>
            <w:tcBorders>
              <w:top w:val="nil"/>
              <w:left w:val="nil"/>
              <w:bottom w:val="single" w:sz="4" w:space="0" w:color="auto"/>
              <w:right w:val="single" w:sz="4" w:space="0" w:color="auto"/>
            </w:tcBorders>
            <w:shd w:val="clear" w:color="000000" w:fill="FFFFFF"/>
            <w:vAlign w:val="center"/>
          </w:tcPr>
          <w:p w:rsidR="00C24828" w:rsidRPr="00C24828" w:rsidRDefault="00C24828" w:rsidP="0004552C">
            <w:pPr>
              <w:jc w:val="center"/>
              <w:rPr>
                <w:sz w:val="18"/>
                <w:szCs w:val="18"/>
              </w:rPr>
            </w:pPr>
            <w:r w:rsidRPr="00C24828">
              <w:rPr>
                <w:sz w:val="18"/>
                <w:szCs w:val="18"/>
              </w:rPr>
              <w:t>96,1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24828" w:rsidRPr="00C24828" w:rsidRDefault="00C24828" w:rsidP="00C24828">
            <w:pPr>
              <w:jc w:val="right"/>
              <w:rPr>
                <w:sz w:val="18"/>
                <w:szCs w:val="18"/>
              </w:rPr>
            </w:pPr>
            <w:r w:rsidRPr="00C24828">
              <w:rPr>
                <w:sz w:val="18"/>
                <w:szCs w:val="18"/>
              </w:rPr>
              <w:t>653 337,7</w:t>
            </w:r>
          </w:p>
        </w:tc>
      </w:tr>
      <w:tr w:rsidR="00E901C7" w:rsidRPr="00C24828" w:rsidTr="008D1041">
        <w:trPr>
          <w:trHeight w:val="315"/>
        </w:trPr>
        <w:tc>
          <w:tcPr>
            <w:tcW w:w="2268" w:type="dxa"/>
            <w:tcBorders>
              <w:top w:val="nil"/>
              <w:left w:val="single" w:sz="4" w:space="0" w:color="auto"/>
              <w:bottom w:val="nil"/>
              <w:right w:val="single" w:sz="4" w:space="0" w:color="auto"/>
            </w:tcBorders>
            <w:shd w:val="clear" w:color="000000" w:fill="FFFFFF"/>
            <w:vAlign w:val="center"/>
            <w:hideMark/>
          </w:tcPr>
          <w:p w:rsidR="00C24828" w:rsidRPr="00C24828" w:rsidRDefault="00C24828" w:rsidP="00523479">
            <w:pPr>
              <w:rPr>
                <w:i/>
                <w:iCs/>
                <w:sz w:val="18"/>
                <w:szCs w:val="18"/>
              </w:rPr>
            </w:pPr>
            <w:r w:rsidRPr="00C24828">
              <w:rPr>
                <w:i/>
                <w:iCs/>
                <w:sz w:val="18"/>
                <w:szCs w:val="18"/>
              </w:rPr>
              <w:t>- ze st</w:t>
            </w:r>
            <w:r w:rsidR="00523479">
              <w:rPr>
                <w:i/>
                <w:iCs/>
                <w:sz w:val="18"/>
                <w:szCs w:val="18"/>
              </w:rPr>
              <w:t>átního</w:t>
            </w:r>
            <w:r w:rsidRPr="00C24828">
              <w:rPr>
                <w:i/>
                <w:iCs/>
                <w:sz w:val="18"/>
                <w:szCs w:val="18"/>
              </w:rPr>
              <w:t xml:space="preserve"> rozpočtu</w:t>
            </w:r>
          </w:p>
        </w:tc>
        <w:tc>
          <w:tcPr>
            <w:tcW w:w="1134" w:type="dxa"/>
            <w:tcBorders>
              <w:top w:val="nil"/>
              <w:left w:val="nil"/>
              <w:bottom w:val="nil"/>
              <w:right w:val="single" w:sz="4" w:space="0" w:color="auto"/>
            </w:tcBorders>
            <w:shd w:val="clear" w:color="000000" w:fill="FFFFFF"/>
            <w:vAlign w:val="center"/>
            <w:hideMark/>
          </w:tcPr>
          <w:p w:rsidR="00C24828" w:rsidRPr="00C24828" w:rsidRDefault="00C24828" w:rsidP="00C24828">
            <w:pPr>
              <w:jc w:val="right"/>
              <w:rPr>
                <w:i/>
                <w:sz w:val="18"/>
                <w:szCs w:val="18"/>
              </w:rPr>
            </w:pPr>
            <w:r w:rsidRPr="00C24828">
              <w:rPr>
                <w:i/>
                <w:sz w:val="18"/>
                <w:szCs w:val="18"/>
              </w:rPr>
              <w:t>0,0</w:t>
            </w:r>
          </w:p>
        </w:tc>
        <w:tc>
          <w:tcPr>
            <w:tcW w:w="993" w:type="dxa"/>
            <w:tcBorders>
              <w:top w:val="nil"/>
              <w:left w:val="nil"/>
              <w:bottom w:val="nil"/>
              <w:right w:val="nil"/>
            </w:tcBorders>
            <w:shd w:val="clear" w:color="000000" w:fill="FFFFFF"/>
            <w:vAlign w:val="center"/>
            <w:hideMark/>
          </w:tcPr>
          <w:p w:rsidR="00C24828" w:rsidRPr="00C24828" w:rsidRDefault="00C24828" w:rsidP="00C24828">
            <w:pPr>
              <w:jc w:val="right"/>
              <w:rPr>
                <w:i/>
                <w:iCs/>
                <w:sz w:val="18"/>
                <w:szCs w:val="18"/>
              </w:rPr>
            </w:pPr>
            <w:r w:rsidRPr="00C24828">
              <w:rPr>
                <w:i/>
                <w:iCs/>
                <w:sz w:val="18"/>
                <w:szCs w:val="18"/>
              </w:rPr>
              <w:t>61 009,3</w:t>
            </w:r>
          </w:p>
        </w:tc>
        <w:tc>
          <w:tcPr>
            <w:tcW w:w="850" w:type="dxa"/>
            <w:tcBorders>
              <w:top w:val="nil"/>
              <w:left w:val="single" w:sz="4" w:space="0" w:color="auto"/>
              <w:bottom w:val="nil"/>
              <w:right w:val="single" w:sz="4" w:space="0" w:color="auto"/>
            </w:tcBorders>
            <w:shd w:val="clear" w:color="000000" w:fill="FFFFFF"/>
            <w:vAlign w:val="center"/>
            <w:hideMark/>
          </w:tcPr>
          <w:p w:rsidR="00C24828" w:rsidRPr="00C24828" w:rsidRDefault="00C24828" w:rsidP="00F164A3">
            <w:pPr>
              <w:jc w:val="center"/>
              <w:rPr>
                <w:i/>
                <w:sz w:val="18"/>
                <w:szCs w:val="18"/>
              </w:rPr>
            </w:pPr>
            <w:r w:rsidRPr="00C24828">
              <w:rPr>
                <w:i/>
                <w:sz w:val="18"/>
                <w:szCs w:val="18"/>
              </w:rPr>
              <w:t>7,4</w:t>
            </w:r>
          </w:p>
        </w:tc>
        <w:tc>
          <w:tcPr>
            <w:tcW w:w="992" w:type="dxa"/>
            <w:tcBorders>
              <w:top w:val="nil"/>
              <w:left w:val="nil"/>
              <w:bottom w:val="nil"/>
              <w:right w:val="nil"/>
            </w:tcBorders>
            <w:shd w:val="clear" w:color="000000" w:fill="FFFFFF"/>
            <w:vAlign w:val="center"/>
            <w:hideMark/>
          </w:tcPr>
          <w:p w:rsidR="00C24828" w:rsidRPr="00C24828" w:rsidRDefault="00C24828" w:rsidP="009924AB">
            <w:pPr>
              <w:jc w:val="right"/>
              <w:rPr>
                <w:i/>
                <w:sz w:val="18"/>
                <w:szCs w:val="18"/>
              </w:rPr>
            </w:pPr>
            <w:r w:rsidRPr="00C24828">
              <w:rPr>
                <w:i/>
                <w:sz w:val="18"/>
                <w:szCs w:val="18"/>
              </w:rPr>
              <w:t>61 009,</w:t>
            </w:r>
            <w:r w:rsidR="009924AB">
              <w:rPr>
                <w:i/>
                <w:sz w:val="18"/>
                <w:szCs w:val="18"/>
              </w:rPr>
              <w:t>4</w:t>
            </w:r>
          </w:p>
        </w:tc>
        <w:tc>
          <w:tcPr>
            <w:tcW w:w="993" w:type="dxa"/>
            <w:tcBorders>
              <w:top w:val="nil"/>
              <w:left w:val="single" w:sz="4" w:space="0" w:color="auto"/>
              <w:bottom w:val="nil"/>
              <w:right w:val="single" w:sz="4" w:space="0" w:color="auto"/>
            </w:tcBorders>
            <w:shd w:val="clear" w:color="000000" w:fill="FFFFFF"/>
            <w:vAlign w:val="center"/>
            <w:hideMark/>
          </w:tcPr>
          <w:p w:rsidR="00C24828" w:rsidRPr="00C24828" w:rsidRDefault="00C24828" w:rsidP="0004552C">
            <w:pPr>
              <w:jc w:val="center"/>
              <w:rPr>
                <w:i/>
                <w:sz w:val="18"/>
                <w:szCs w:val="18"/>
              </w:rPr>
            </w:pPr>
            <w:r w:rsidRPr="00C24828">
              <w:rPr>
                <w:i/>
                <w:sz w:val="18"/>
                <w:szCs w:val="18"/>
              </w:rPr>
              <w:t>7,7</w:t>
            </w:r>
          </w:p>
        </w:tc>
        <w:tc>
          <w:tcPr>
            <w:tcW w:w="850" w:type="dxa"/>
            <w:tcBorders>
              <w:top w:val="nil"/>
              <w:left w:val="single" w:sz="4" w:space="0" w:color="auto"/>
              <w:bottom w:val="nil"/>
              <w:right w:val="single" w:sz="4" w:space="0" w:color="auto"/>
            </w:tcBorders>
            <w:shd w:val="clear" w:color="000000" w:fill="FFFFFF"/>
            <w:vAlign w:val="center"/>
          </w:tcPr>
          <w:p w:rsidR="00C24828" w:rsidRPr="00C24828" w:rsidRDefault="00C24828" w:rsidP="0004552C">
            <w:pPr>
              <w:jc w:val="center"/>
              <w:rPr>
                <w:i/>
                <w:sz w:val="18"/>
                <w:szCs w:val="18"/>
              </w:rPr>
            </w:pPr>
            <w:r w:rsidRPr="00C24828">
              <w:rPr>
                <w:i/>
                <w:sz w:val="18"/>
                <w:szCs w:val="18"/>
              </w:rPr>
              <w:t>100,0</w:t>
            </w:r>
          </w:p>
        </w:tc>
        <w:tc>
          <w:tcPr>
            <w:tcW w:w="992" w:type="dxa"/>
            <w:tcBorders>
              <w:top w:val="nil"/>
              <w:left w:val="single" w:sz="4" w:space="0" w:color="auto"/>
              <w:bottom w:val="nil"/>
              <w:right w:val="single" w:sz="4" w:space="0" w:color="auto"/>
            </w:tcBorders>
            <w:shd w:val="clear" w:color="000000" w:fill="FFFFFF"/>
            <w:vAlign w:val="center"/>
            <w:hideMark/>
          </w:tcPr>
          <w:p w:rsidR="00C24828" w:rsidRPr="00C24828" w:rsidRDefault="00C24828" w:rsidP="00C24828">
            <w:pPr>
              <w:jc w:val="right"/>
              <w:rPr>
                <w:i/>
                <w:iCs/>
                <w:sz w:val="18"/>
                <w:szCs w:val="18"/>
              </w:rPr>
            </w:pPr>
            <w:r w:rsidRPr="00C24828">
              <w:rPr>
                <w:i/>
                <w:iCs/>
                <w:sz w:val="18"/>
                <w:szCs w:val="18"/>
              </w:rPr>
              <w:t>67 292,0</w:t>
            </w:r>
          </w:p>
        </w:tc>
      </w:tr>
      <w:tr w:rsidR="00E901C7" w:rsidRPr="00C24828" w:rsidTr="008D1041">
        <w:trPr>
          <w:trHeight w:val="315"/>
        </w:trPr>
        <w:tc>
          <w:tcPr>
            <w:tcW w:w="2268" w:type="dxa"/>
            <w:tcBorders>
              <w:top w:val="nil"/>
              <w:left w:val="single" w:sz="4" w:space="0" w:color="auto"/>
              <w:bottom w:val="nil"/>
              <w:right w:val="single" w:sz="4" w:space="0" w:color="auto"/>
            </w:tcBorders>
            <w:shd w:val="clear" w:color="000000" w:fill="FFFFFF"/>
            <w:vAlign w:val="center"/>
            <w:hideMark/>
          </w:tcPr>
          <w:p w:rsidR="00C24828" w:rsidRPr="00C24828" w:rsidRDefault="00C24828" w:rsidP="00523479">
            <w:pPr>
              <w:rPr>
                <w:i/>
                <w:iCs/>
                <w:sz w:val="18"/>
                <w:szCs w:val="18"/>
              </w:rPr>
            </w:pPr>
            <w:r w:rsidRPr="00C24828">
              <w:rPr>
                <w:i/>
                <w:iCs/>
                <w:sz w:val="18"/>
                <w:szCs w:val="18"/>
              </w:rPr>
              <w:t>- z hl</w:t>
            </w:r>
            <w:r w:rsidR="00523479">
              <w:rPr>
                <w:i/>
                <w:iCs/>
                <w:sz w:val="18"/>
                <w:szCs w:val="18"/>
              </w:rPr>
              <w:t xml:space="preserve">avního </w:t>
            </w:r>
            <w:r w:rsidRPr="00C24828">
              <w:rPr>
                <w:i/>
                <w:iCs/>
                <w:sz w:val="18"/>
                <w:szCs w:val="18"/>
              </w:rPr>
              <w:t>m</w:t>
            </w:r>
            <w:r w:rsidR="00523479">
              <w:rPr>
                <w:i/>
                <w:iCs/>
                <w:sz w:val="18"/>
                <w:szCs w:val="18"/>
              </w:rPr>
              <w:t>ěsta</w:t>
            </w:r>
            <w:r w:rsidRPr="00C24828">
              <w:rPr>
                <w:i/>
                <w:iCs/>
                <w:sz w:val="18"/>
                <w:szCs w:val="18"/>
              </w:rPr>
              <w:t xml:space="preserve"> Prahy</w:t>
            </w:r>
          </w:p>
        </w:tc>
        <w:tc>
          <w:tcPr>
            <w:tcW w:w="1134" w:type="dxa"/>
            <w:tcBorders>
              <w:top w:val="nil"/>
              <w:left w:val="nil"/>
              <w:bottom w:val="nil"/>
              <w:right w:val="single" w:sz="4" w:space="0" w:color="auto"/>
            </w:tcBorders>
            <w:shd w:val="clear" w:color="000000" w:fill="FFFFFF"/>
            <w:vAlign w:val="center"/>
            <w:hideMark/>
          </w:tcPr>
          <w:p w:rsidR="00C24828" w:rsidRPr="00C24828" w:rsidRDefault="00C24828" w:rsidP="00C24828">
            <w:pPr>
              <w:jc w:val="right"/>
              <w:rPr>
                <w:i/>
                <w:sz w:val="18"/>
                <w:szCs w:val="18"/>
              </w:rPr>
            </w:pPr>
            <w:r w:rsidRPr="00C24828">
              <w:rPr>
                <w:i/>
                <w:sz w:val="18"/>
                <w:szCs w:val="18"/>
              </w:rPr>
              <w:t>0,0</w:t>
            </w:r>
          </w:p>
        </w:tc>
        <w:tc>
          <w:tcPr>
            <w:tcW w:w="993" w:type="dxa"/>
            <w:tcBorders>
              <w:top w:val="nil"/>
              <w:left w:val="nil"/>
              <w:bottom w:val="nil"/>
              <w:right w:val="nil"/>
            </w:tcBorders>
            <w:shd w:val="clear" w:color="000000" w:fill="FFFFFF"/>
            <w:vAlign w:val="center"/>
            <w:hideMark/>
          </w:tcPr>
          <w:p w:rsidR="00C24828" w:rsidRPr="00C24828" w:rsidRDefault="00C24828" w:rsidP="00C24828">
            <w:pPr>
              <w:jc w:val="right"/>
              <w:rPr>
                <w:i/>
                <w:iCs/>
                <w:sz w:val="18"/>
                <w:szCs w:val="18"/>
              </w:rPr>
            </w:pPr>
            <w:r w:rsidRPr="00C24828">
              <w:rPr>
                <w:i/>
                <w:iCs/>
                <w:sz w:val="18"/>
                <w:szCs w:val="18"/>
              </w:rPr>
              <w:t>302 621,4</w:t>
            </w:r>
          </w:p>
        </w:tc>
        <w:tc>
          <w:tcPr>
            <w:tcW w:w="850" w:type="dxa"/>
            <w:tcBorders>
              <w:top w:val="nil"/>
              <w:left w:val="single" w:sz="4" w:space="0" w:color="auto"/>
              <w:bottom w:val="nil"/>
              <w:right w:val="single" w:sz="4" w:space="0" w:color="auto"/>
            </w:tcBorders>
            <w:shd w:val="clear" w:color="000000" w:fill="FFFFFF"/>
            <w:vAlign w:val="center"/>
            <w:hideMark/>
          </w:tcPr>
          <w:p w:rsidR="00C24828" w:rsidRPr="00C24828" w:rsidRDefault="00C24828" w:rsidP="00F164A3">
            <w:pPr>
              <w:jc w:val="center"/>
              <w:rPr>
                <w:i/>
                <w:sz w:val="18"/>
                <w:szCs w:val="18"/>
              </w:rPr>
            </w:pPr>
            <w:r w:rsidRPr="00C24828">
              <w:rPr>
                <w:i/>
                <w:sz w:val="18"/>
                <w:szCs w:val="18"/>
              </w:rPr>
              <w:t>36,9</w:t>
            </w:r>
          </w:p>
        </w:tc>
        <w:tc>
          <w:tcPr>
            <w:tcW w:w="992" w:type="dxa"/>
            <w:tcBorders>
              <w:top w:val="nil"/>
              <w:left w:val="nil"/>
              <w:bottom w:val="nil"/>
              <w:right w:val="nil"/>
            </w:tcBorders>
            <w:shd w:val="clear" w:color="000000" w:fill="FFFFFF"/>
            <w:vAlign w:val="center"/>
            <w:hideMark/>
          </w:tcPr>
          <w:p w:rsidR="00C24828" w:rsidRPr="00C24828" w:rsidRDefault="00C24828" w:rsidP="00C24828">
            <w:pPr>
              <w:jc w:val="right"/>
              <w:rPr>
                <w:i/>
                <w:sz w:val="18"/>
                <w:szCs w:val="18"/>
              </w:rPr>
            </w:pPr>
            <w:r w:rsidRPr="00C24828">
              <w:rPr>
                <w:i/>
                <w:sz w:val="18"/>
                <w:szCs w:val="18"/>
              </w:rPr>
              <w:t>300 621,4</w:t>
            </w:r>
          </w:p>
        </w:tc>
        <w:tc>
          <w:tcPr>
            <w:tcW w:w="993" w:type="dxa"/>
            <w:tcBorders>
              <w:top w:val="nil"/>
              <w:left w:val="single" w:sz="4" w:space="0" w:color="auto"/>
              <w:bottom w:val="nil"/>
              <w:right w:val="single" w:sz="4" w:space="0" w:color="auto"/>
            </w:tcBorders>
            <w:shd w:val="clear" w:color="000000" w:fill="FFFFFF"/>
            <w:vAlign w:val="center"/>
            <w:hideMark/>
          </w:tcPr>
          <w:p w:rsidR="00C24828" w:rsidRPr="00C24828" w:rsidRDefault="00C24828" w:rsidP="0004552C">
            <w:pPr>
              <w:jc w:val="center"/>
              <w:rPr>
                <w:i/>
                <w:sz w:val="18"/>
                <w:szCs w:val="18"/>
              </w:rPr>
            </w:pPr>
            <w:r w:rsidRPr="00C24828">
              <w:rPr>
                <w:i/>
                <w:sz w:val="18"/>
                <w:szCs w:val="18"/>
              </w:rPr>
              <w:t>38,0</w:t>
            </w:r>
          </w:p>
        </w:tc>
        <w:tc>
          <w:tcPr>
            <w:tcW w:w="850" w:type="dxa"/>
            <w:tcBorders>
              <w:top w:val="nil"/>
              <w:left w:val="single" w:sz="4" w:space="0" w:color="auto"/>
              <w:bottom w:val="nil"/>
              <w:right w:val="single" w:sz="4" w:space="0" w:color="auto"/>
            </w:tcBorders>
            <w:shd w:val="clear" w:color="000000" w:fill="FFFFFF"/>
            <w:vAlign w:val="center"/>
          </w:tcPr>
          <w:p w:rsidR="00C24828" w:rsidRPr="00C24828" w:rsidRDefault="00C24828" w:rsidP="0004552C">
            <w:pPr>
              <w:jc w:val="center"/>
              <w:rPr>
                <w:i/>
                <w:sz w:val="18"/>
                <w:szCs w:val="18"/>
              </w:rPr>
            </w:pPr>
            <w:r w:rsidRPr="00C24828">
              <w:rPr>
                <w:i/>
                <w:sz w:val="18"/>
                <w:szCs w:val="18"/>
              </w:rPr>
              <w:t>99,3</w:t>
            </w:r>
          </w:p>
        </w:tc>
        <w:tc>
          <w:tcPr>
            <w:tcW w:w="992" w:type="dxa"/>
            <w:tcBorders>
              <w:top w:val="nil"/>
              <w:left w:val="single" w:sz="4" w:space="0" w:color="auto"/>
              <w:bottom w:val="nil"/>
              <w:right w:val="single" w:sz="4" w:space="0" w:color="auto"/>
            </w:tcBorders>
            <w:shd w:val="clear" w:color="000000" w:fill="FFFFFF"/>
            <w:vAlign w:val="center"/>
            <w:hideMark/>
          </w:tcPr>
          <w:p w:rsidR="00C24828" w:rsidRPr="00C24828" w:rsidRDefault="00C24828" w:rsidP="00C24828">
            <w:pPr>
              <w:jc w:val="right"/>
              <w:rPr>
                <w:i/>
                <w:iCs/>
                <w:sz w:val="18"/>
                <w:szCs w:val="18"/>
              </w:rPr>
            </w:pPr>
            <w:r w:rsidRPr="00C24828">
              <w:rPr>
                <w:i/>
                <w:iCs/>
                <w:sz w:val="18"/>
                <w:szCs w:val="18"/>
              </w:rPr>
              <w:t>323 257,6</w:t>
            </w:r>
          </w:p>
        </w:tc>
      </w:tr>
      <w:tr w:rsidR="00E901C7" w:rsidRPr="00C24828" w:rsidTr="008D1041">
        <w:trPr>
          <w:trHeight w:val="390"/>
        </w:trPr>
        <w:tc>
          <w:tcPr>
            <w:tcW w:w="2268" w:type="dxa"/>
            <w:tcBorders>
              <w:top w:val="nil"/>
              <w:left w:val="single" w:sz="4" w:space="0" w:color="auto"/>
              <w:bottom w:val="nil"/>
              <w:right w:val="single" w:sz="4" w:space="0" w:color="auto"/>
            </w:tcBorders>
            <w:shd w:val="clear" w:color="000000" w:fill="FFFFFF"/>
            <w:vAlign w:val="center"/>
            <w:hideMark/>
          </w:tcPr>
          <w:p w:rsidR="00C24828" w:rsidRPr="00C24828" w:rsidRDefault="00523479" w:rsidP="00523479">
            <w:pPr>
              <w:rPr>
                <w:i/>
                <w:iCs/>
                <w:sz w:val="18"/>
                <w:szCs w:val="18"/>
              </w:rPr>
            </w:pPr>
            <w:r>
              <w:rPr>
                <w:i/>
                <w:iCs/>
                <w:sz w:val="18"/>
                <w:szCs w:val="18"/>
              </w:rPr>
              <w:t>- převody z vlastních</w:t>
            </w:r>
            <w:r w:rsidR="00C24828" w:rsidRPr="00C24828">
              <w:rPr>
                <w:i/>
                <w:iCs/>
                <w:sz w:val="18"/>
                <w:szCs w:val="18"/>
              </w:rPr>
              <w:t xml:space="preserve"> </w:t>
            </w:r>
            <w:r>
              <w:rPr>
                <w:i/>
                <w:iCs/>
                <w:sz w:val="18"/>
                <w:szCs w:val="18"/>
              </w:rPr>
              <w:t>f</w:t>
            </w:r>
            <w:r w:rsidR="00C24828" w:rsidRPr="00C24828">
              <w:rPr>
                <w:i/>
                <w:iCs/>
                <w:sz w:val="18"/>
                <w:szCs w:val="18"/>
              </w:rPr>
              <w:t>on</w:t>
            </w:r>
            <w:r w:rsidR="005E1957">
              <w:rPr>
                <w:i/>
                <w:iCs/>
                <w:sz w:val="18"/>
                <w:szCs w:val="18"/>
              </w:rPr>
              <w:t>d</w:t>
            </w:r>
            <w:r w:rsidR="00C24828" w:rsidRPr="00C24828">
              <w:rPr>
                <w:i/>
                <w:iCs/>
                <w:sz w:val="18"/>
                <w:szCs w:val="18"/>
              </w:rPr>
              <w:t>ů</w:t>
            </w:r>
            <w:r>
              <w:rPr>
                <w:i/>
                <w:iCs/>
                <w:sz w:val="18"/>
                <w:szCs w:val="18"/>
              </w:rPr>
              <w:t xml:space="preserve"> </w:t>
            </w:r>
            <w:r w:rsidR="00C24828" w:rsidRPr="00C24828">
              <w:rPr>
                <w:i/>
                <w:iCs/>
                <w:sz w:val="18"/>
                <w:szCs w:val="18"/>
              </w:rPr>
              <w:t>hos</w:t>
            </w:r>
            <w:r>
              <w:rPr>
                <w:i/>
                <w:iCs/>
                <w:sz w:val="18"/>
                <w:szCs w:val="18"/>
              </w:rPr>
              <w:t xml:space="preserve">podářské </w:t>
            </w:r>
            <w:r w:rsidR="00C24828" w:rsidRPr="00C24828">
              <w:rPr>
                <w:i/>
                <w:iCs/>
                <w:sz w:val="18"/>
                <w:szCs w:val="18"/>
              </w:rPr>
              <w:t>činnosti</w:t>
            </w:r>
          </w:p>
        </w:tc>
        <w:tc>
          <w:tcPr>
            <w:tcW w:w="1134" w:type="dxa"/>
            <w:tcBorders>
              <w:top w:val="nil"/>
              <w:left w:val="nil"/>
              <w:bottom w:val="nil"/>
              <w:right w:val="single" w:sz="4" w:space="0" w:color="auto"/>
            </w:tcBorders>
            <w:shd w:val="clear" w:color="000000" w:fill="FFFFFF"/>
            <w:vAlign w:val="center"/>
            <w:hideMark/>
          </w:tcPr>
          <w:p w:rsidR="00C24828" w:rsidRPr="00C24828" w:rsidRDefault="00C24828" w:rsidP="00C24828">
            <w:pPr>
              <w:jc w:val="right"/>
              <w:rPr>
                <w:i/>
                <w:sz w:val="18"/>
                <w:szCs w:val="18"/>
              </w:rPr>
            </w:pPr>
            <w:r w:rsidRPr="00C24828">
              <w:rPr>
                <w:i/>
                <w:sz w:val="18"/>
                <w:szCs w:val="18"/>
              </w:rPr>
              <w:t>0,0</w:t>
            </w:r>
          </w:p>
        </w:tc>
        <w:tc>
          <w:tcPr>
            <w:tcW w:w="993" w:type="dxa"/>
            <w:tcBorders>
              <w:top w:val="nil"/>
              <w:left w:val="nil"/>
              <w:bottom w:val="nil"/>
              <w:right w:val="nil"/>
            </w:tcBorders>
            <w:shd w:val="clear" w:color="000000" w:fill="FFFFFF"/>
            <w:vAlign w:val="center"/>
            <w:hideMark/>
          </w:tcPr>
          <w:p w:rsidR="00C24828" w:rsidRPr="00C24828" w:rsidRDefault="00C24828" w:rsidP="00C24828">
            <w:pPr>
              <w:jc w:val="right"/>
              <w:rPr>
                <w:i/>
                <w:iCs/>
                <w:sz w:val="18"/>
                <w:szCs w:val="18"/>
              </w:rPr>
            </w:pPr>
            <w:r w:rsidRPr="00C24828">
              <w:rPr>
                <w:i/>
                <w:iCs/>
                <w:sz w:val="18"/>
                <w:szCs w:val="18"/>
              </w:rPr>
              <w:t>359 411,5</w:t>
            </w:r>
          </w:p>
        </w:tc>
        <w:tc>
          <w:tcPr>
            <w:tcW w:w="850" w:type="dxa"/>
            <w:tcBorders>
              <w:top w:val="nil"/>
              <w:left w:val="single" w:sz="4" w:space="0" w:color="auto"/>
              <w:bottom w:val="nil"/>
              <w:right w:val="single" w:sz="4" w:space="0" w:color="auto"/>
            </w:tcBorders>
            <w:shd w:val="clear" w:color="000000" w:fill="FFFFFF"/>
            <w:vAlign w:val="center"/>
            <w:hideMark/>
          </w:tcPr>
          <w:p w:rsidR="00C24828" w:rsidRPr="00C24828" w:rsidRDefault="00C24828" w:rsidP="00F164A3">
            <w:pPr>
              <w:jc w:val="center"/>
              <w:rPr>
                <w:i/>
                <w:sz w:val="18"/>
                <w:szCs w:val="18"/>
              </w:rPr>
            </w:pPr>
            <w:r w:rsidRPr="00C24828">
              <w:rPr>
                <w:i/>
                <w:sz w:val="18"/>
                <w:szCs w:val="18"/>
              </w:rPr>
              <w:t>43,8</w:t>
            </w:r>
          </w:p>
        </w:tc>
        <w:tc>
          <w:tcPr>
            <w:tcW w:w="992" w:type="dxa"/>
            <w:tcBorders>
              <w:top w:val="nil"/>
              <w:left w:val="nil"/>
              <w:bottom w:val="nil"/>
              <w:right w:val="nil"/>
            </w:tcBorders>
            <w:shd w:val="clear" w:color="000000" w:fill="FFFFFF"/>
            <w:vAlign w:val="center"/>
            <w:hideMark/>
          </w:tcPr>
          <w:p w:rsidR="00C24828" w:rsidRPr="00C24828" w:rsidRDefault="00C24828" w:rsidP="009924AB">
            <w:pPr>
              <w:jc w:val="right"/>
              <w:rPr>
                <w:i/>
                <w:sz w:val="18"/>
                <w:szCs w:val="18"/>
              </w:rPr>
            </w:pPr>
            <w:r w:rsidRPr="00C24828">
              <w:rPr>
                <w:i/>
                <w:sz w:val="18"/>
                <w:szCs w:val="18"/>
              </w:rPr>
              <w:t>333 599,</w:t>
            </w:r>
            <w:r w:rsidR="009924AB">
              <w:rPr>
                <w:i/>
                <w:sz w:val="18"/>
                <w:szCs w:val="18"/>
              </w:rPr>
              <w:t>6</w:t>
            </w:r>
          </w:p>
        </w:tc>
        <w:tc>
          <w:tcPr>
            <w:tcW w:w="993" w:type="dxa"/>
            <w:tcBorders>
              <w:top w:val="nil"/>
              <w:left w:val="single" w:sz="4" w:space="0" w:color="auto"/>
              <w:bottom w:val="nil"/>
              <w:right w:val="single" w:sz="4" w:space="0" w:color="auto"/>
            </w:tcBorders>
            <w:shd w:val="clear" w:color="000000" w:fill="FFFFFF"/>
            <w:vAlign w:val="center"/>
            <w:hideMark/>
          </w:tcPr>
          <w:p w:rsidR="00C24828" w:rsidRPr="00C24828" w:rsidRDefault="00C24828" w:rsidP="0004552C">
            <w:pPr>
              <w:jc w:val="center"/>
              <w:rPr>
                <w:i/>
                <w:sz w:val="18"/>
                <w:szCs w:val="18"/>
              </w:rPr>
            </w:pPr>
            <w:r w:rsidRPr="00C24828">
              <w:rPr>
                <w:i/>
                <w:sz w:val="18"/>
                <w:szCs w:val="18"/>
              </w:rPr>
              <w:t>42,1</w:t>
            </w:r>
          </w:p>
        </w:tc>
        <w:tc>
          <w:tcPr>
            <w:tcW w:w="850" w:type="dxa"/>
            <w:tcBorders>
              <w:top w:val="nil"/>
              <w:left w:val="single" w:sz="4" w:space="0" w:color="auto"/>
              <w:bottom w:val="nil"/>
              <w:right w:val="single" w:sz="4" w:space="0" w:color="auto"/>
            </w:tcBorders>
            <w:shd w:val="clear" w:color="000000" w:fill="FFFFFF"/>
            <w:vAlign w:val="center"/>
          </w:tcPr>
          <w:p w:rsidR="00C24828" w:rsidRPr="00C24828" w:rsidRDefault="00C24828" w:rsidP="0004552C">
            <w:pPr>
              <w:jc w:val="center"/>
              <w:rPr>
                <w:i/>
                <w:sz w:val="18"/>
                <w:szCs w:val="18"/>
              </w:rPr>
            </w:pPr>
            <w:r w:rsidRPr="00C24828">
              <w:rPr>
                <w:i/>
                <w:sz w:val="18"/>
                <w:szCs w:val="18"/>
              </w:rPr>
              <w:t>92,8</w:t>
            </w:r>
          </w:p>
        </w:tc>
        <w:tc>
          <w:tcPr>
            <w:tcW w:w="992" w:type="dxa"/>
            <w:tcBorders>
              <w:top w:val="nil"/>
              <w:left w:val="single" w:sz="4" w:space="0" w:color="auto"/>
              <w:bottom w:val="nil"/>
              <w:right w:val="single" w:sz="4" w:space="0" w:color="auto"/>
            </w:tcBorders>
            <w:shd w:val="clear" w:color="000000" w:fill="FFFFFF"/>
            <w:vAlign w:val="center"/>
            <w:hideMark/>
          </w:tcPr>
          <w:p w:rsidR="00C24828" w:rsidRPr="00C24828" w:rsidRDefault="00C24828" w:rsidP="00C24828">
            <w:pPr>
              <w:jc w:val="right"/>
              <w:rPr>
                <w:i/>
                <w:iCs/>
                <w:sz w:val="18"/>
                <w:szCs w:val="18"/>
              </w:rPr>
            </w:pPr>
            <w:r w:rsidRPr="00C24828">
              <w:rPr>
                <w:i/>
                <w:iCs/>
                <w:sz w:val="18"/>
                <w:szCs w:val="18"/>
              </w:rPr>
              <w:t>235 934,5</w:t>
            </w:r>
          </w:p>
        </w:tc>
      </w:tr>
      <w:tr w:rsidR="00E901C7" w:rsidRPr="00C24828" w:rsidTr="008D1041">
        <w:trPr>
          <w:trHeight w:val="315"/>
        </w:trPr>
        <w:tc>
          <w:tcPr>
            <w:tcW w:w="2268" w:type="dxa"/>
            <w:tcBorders>
              <w:top w:val="nil"/>
              <w:left w:val="single" w:sz="4" w:space="0" w:color="auto"/>
              <w:bottom w:val="nil"/>
              <w:right w:val="single" w:sz="4" w:space="0" w:color="auto"/>
            </w:tcBorders>
            <w:shd w:val="clear" w:color="000000" w:fill="FFFFFF"/>
            <w:vAlign w:val="center"/>
            <w:hideMark/>
          </w:tcPr>
          <w:p w:rsidR="00C24828" w:rsidRPr="00C24828" w:rsidRDefault="00C24828" w:rsidP="00C24828">
            <w:pPr>
              <w:rPr>
                <w:i/>
                <w:iCs/>
                <w:sz w:val="18"/>
                <w:szCs w:val="18"/>
              </w:rPr>
            </w:pPr>
            <w:r w:rsidRPr="00C24828">
              <w:rPr>
                <w:i/>
                <w:iCs/>
                <w:sz w:val="18"/>
                <w:szCs w:val="18"/>
              </w:rPr>
              <w:t>- od krajů</w:t>
            </w:r>
          </w:p>
        </w:tc>
        <w:tc>
          <w:tcPr>
            <w:tcW w:w="1134" w:type="dxa"/>
            <w:tcBorders>
              <w:top w:val="nil"/>
              <w:left w:val="nil"/>
              <w:bottom w:val="nil"/>
              <w:right w:val="single" w:sz="4" w:space="0" w:color="auto"/>
            </w:tcBorders>
            <w:shd w:val="clear" w:color="000000" w:fill="FFFFFF"/>
            <w:vAlign w:val="center"/>
            <w:hideMark/>
          </w:tcPr>
          <w:p w:rsidR="00C24828" w:rsidRPr="00C24828" w:rsidRDefault="00C24828" w:rsidP="00C24828">
            <w:pPr>
              <w:jc w:val="right"/>
              <w:rPr>
                <w:i/>
                <w:sz w:val="18"/>
                <w:szCs w:val="18"/>
              </w:rPr>
            </w:pPr>
            <w:r w:rsidRPr="00C24828">
              <w:rPr>
                <w:i/>
                <w:sz w:val="18"/>
                <w:szCs w:val="18"/>
              </w:rPr>
              <w:t>0,0</w:t>
            </w:r>
          </w:p>
        </w:tc>
        <w:tc>
          <w:tcPr>
            <w:tcW w:w="993" w:type="dxa"/>
            <w:tcBorders>
              <w:top w:val="nil"/>
              <w:left w:val="nil"/>
              <w:bottom w:val="nil"/>
              <w:right w:val="nil"/>
            </w:tcBorders>
            <w:shd w:val="clear" w:color="000000" w:fill="FFFFFF"/>
            <w:vAlign w:val="center"/>
            <w:hideMark/>
          </w:tcPr>
          <w:p w:rsidR="00C24828" w:rsidRPr="00C24828" w:rsidRDefault="00C24828" w:rsidP="00C24828">
            <w:pPr>
              <w:jc w:val="right"/>
              <w:rPr>
                <w:i/>
                <w:iCs/>
                <w:sz w:val="18"/>
                <w:szCs w:val="18"/>
              </w:rPr>
            </w:pPr>
            <w:r w:rsidRPr="00C24828">
              <w:rPr>
                <w:i/>
                <w:iCs/>
                <w:sz w:val="18"/>
                <w:szCs w:val="18"/>
              </w:rPr>
              <w:t>2 930,2</w:t>
            </w:r>
          </w:p>
        </w:tc>
        <w:tc>
          <w:tcPr>
            <w:tcW w:w="850" w:type="dxa"/>
            <w:tcBorders>
              <w:top w:val="nil"/>
              <w:left w:val="single" w:sz="4" w:space="0" w:color="auto"/>
              <w:bottom w:val="nil"/>
              <w:right w:val="single" w:sz="4" w:space="0" w:color="auto"/>
            </w:tcBorders>
            <w:shd w:val="clear" w:color="000000" w:fill="FFFFFF"/>
            <w:vAlign w:val="center"/>
            <w:hideMark/>
          </w:tcPr>
          <w:p w:rsidR="00C24828" w:rsidRPr="00C24828" w:rsidRDefault="00C24828" w:rsidP="00F164A3">
            <w:pPr>
              <w:jc w:val="center"/>
              <w:rPr>
                <w:i/>
                <w:sz w:val="18"/>
                <w:szCs w:val="18"/>
              </w:rPr>
            </w:pPr>
            <w:r w:rsidRPr="00C24828">
              <w:rPr>
                <w:i/>
                <w:sz w:val="18"/>
                <w:szCs w:val="18"/>
              </w:rPr>
              <w:t>0,4</w:t>
            </w:r>
          </w:p>
        </w:tc>
        <w:tc>
          <w:tcPr>
            <w:tcW w:w="992" w:type="dxa"/>
            <w:tcBorders>
              <w:top w:val="nil"/>
              <w:left w:val="nil"/>
              <w:bottom w:val="nil"/>
              <w:right w:val="nil"/>
            </w:tcBorders>
            <w:shd w:val="clear" w:color="000000" w:fill="FFFFFF"/>
            <w:vAlign w:val="center"/>
            <w:hideMark/>
          </w:tcPr>
          <w:p w:rsidR="00C24828" w:rsidRPr="00C24828" w:rsidRDefault="00C24828" w:rsidP="00C24828">
            <w:pPr>
              <w:jc w:val="right"/>
              <w:rPr>
                <w:i/>
                <w:sz w:val="18"/>
                <w:szCs w:val="18"/>
              </w:rPr>
            </w:pPr>
            <w:r w:rsidRPr="00C24828">
              <w:rPr>
                <w:i/>
                <w:sz w:val="18"/>
                <w:szCs w:val="18"/>
              </w:rPr>
              <w:t>2 520,5</w:t>
            </w:r>
          </w:p>
        </w:tc>
        <w:tc>
          <w:tcPr>
            <w:tcW w:w="993" w:type="dxa"/>
            <w:tcBorders>
              <w:top w:val="nil"/>
              <w:left w:val="single" w:sz="4" w:space="0" w:color="auto"/>
              <w:bottom w:val="nil"/>
              <w:right w:val="single" w:sz="4" w:space="0" w:color="auto"/>
            </w:tcBorders>
            <w:shd w:val="clear" w:color="000000" w:fill="FFFFFF"/>
            <w:vAlign w:val="center"/>
            <w:hideMark/>
          </w:tcPr>
          <w:p w:rsidR="00C24828" w:rsidRPr="00C24828" w:rsidRDefault="00C24828" w:rsidP="0004552C">
            <w:pPr>
              <w:jc w:val="center"/>
              <w:rPr>
                <w:i/>
                <w:sz w:val="18"/>
                <w:szCs w:val="18"/>
              </w:rPr>
            </w:pPr>
            <w:r w:rsidRPr="00C24828">
              <w:rPr>
                <w:i/>
                <w:sz w:val="18"/>
                <w:szCs w:val="18"/>
              </w:rPr>
              <w:t>0,3</w:t>
            </w:r>
          </w:p>
        </w:tc>
        <w:tc>
          <w:tcPr>
            <w:tcW w:w="850" w:type="dxa"/>
            <w:tcBorders>
              <w:top w:val="nil"/>
              <w:left w:val="single" w:sz="4" w:space="0" w:color="auto"/>
              <w:bottom w:val="nil"/>
              <w:right w:val="single" w:sz="4" w:space="0" w:color="auto"/>
            </w:tcBorders>
            <w:shd w:val="clear" w:color="000000" w:fill="FFFFFF"/>
            <w:vAlign w:val="center"/>
          </w:tcPr>
          <w:p w:rsidR="00C24828" w:rsidRPr="00C24828" w:rsidRDefault="00C24828" w:rsidP="0004552C">
            <w:pPr>
              <w:jc w:val="center"/>
              <w:rPr>
                <w:i/>
                <w:sz w:val="18"/>
                <w:szCs w:val="18"/>
              </w:rPr>
            </w:pPr>
            <w:r w:rsidRPr="00C24828">
              <w:rPr>
                <w:i/>
                <w:sz w:val="18"/>
                <w:szCs w:val="18"/>
              </w:rPr>
              <w:t>86,0</w:t>
            </w:r>
          </w:p>
        </w:tc>
        <w:tc>
          <w:tcPr>
            <w:tcW w:w="992" w:type="dxa"/>
            <w:tcBorders>
              <w:top w:val="nil"/>
              <w:left w:val="single" w:sz="4" w:space="0" w:color="auto"/>
              <w:bottom w:val="nil"/>
              <w:right w:val="single" w:sz="4" w:space="0" w:color="auto"/>
            </w:tcBorders>
            <w:shd w:val="clear" w:color="000000" w:fill="FFFFFF"/>
            <w:vAlign w:val="center"/>
            <w:hideMark/>
          </w:tcPr>
          <w:p w:rsidR="00C24828" w:rsidRPr="00C24828" w:rsidRDefault="00C24828" w:rsidP="00C24828">
            <w:pPr>
              <w:jc w:val="right"/>
              <w:rPr>
                <w:i/>
                <w:iCs/>
                <w:sz w:val="18"/>
                <w:szCs w:val="18"/>
              </w:rPr>
            </w:pPr>
            <w:r w:rsidRPr="00C24828">
              <w:rPr>
                <w:i/>
                <w:iCs/>
                <w:sz w:val="18"/>
                <w:szCs w:val="18"/>
              </w:rPr>
              <w:t>507,5</w:t>
            </w:r>
          </w:p>
        </w:tc>
      </w:tr>
      <w:tr w:rsidR="00E901C7" w:rsidRPr="00C24828" w:rsidTr="008D1041">
        <w:trPr>
          <w:trHeight w:val="330"/>
        </w:trPr>
        <w:tc>
          <w:tcPr>
            <w:tcW w:w="2268" w:type="dxa"/>
            <w:tcBorders>
              <w:top w:val="nil"/>
              <w:left w:val="single" w:sz="4" w:space="0" w:color="auto"/>
              <w:bottom w:val="single" w:sz="4" w:space="0" w:color="auto"/>
              <w:right w:val="single" w:sz="4" w:space="0" w:color="auto"/>
            </w:tcBorders>
            <w:shd w:val="clear" w:color="000000" w:fill="FFFFFF"/>
            <w:vAlign w:val="center"/>
            <w:hideMark/>
          </w:tcPr>
          <w:p w:rsidR="00C24828" w:rsidRPr="00C24828" w:rsidRDefault="00C24828" w:rsidP="005E1957">
            <w:pPr>
              <w:rPr>
                <w:i/>
                <w:iCs/>
                <w:sz w:val="18"/>
                <w:szCs w:val="18"/>
              </w:rPr>
            </w:pPr>
            <w:r w:rsidRPr="00C24828">
              <w:rPr>
                <w:i/>
                <w:iCs/>
                <w:sz w:val="18"/>
                <w:szCs w:val="18"/>
              </w:rPr>
              <w:t>- ostatní inv. transf</w:t>
            </w:r>
            <w:r w:rsidR="005E1957">
              <w:rPr>
                <w:i/>
                <w:iCs/>
                <w:sz w:val="18"/>
                <w:szCs w:val="18"/>
              </w:rPr>
              <w:t>ery</w:t>
            </w:r>
            <w:r w:rsidR="00BA4DCF">
              <w:rPr>
                <w:i/>
                <w:iCs/>
                <w:sz w:val="18"/>
                <w:szCs w:val="18"/>
              </w:rPr>
              <w:t xml:space="preserve"> ze s</w:t>
            </w:r>
            <w:r w:rsidR="005E1957">
              <w:rPr>
                <w:i/>
                <w:iCs/>
                <w:sz w:val="18"/>
                <w:szCs w:val="18"/>
              </w:rPr>
              <w:t>tátního rozpočtu</w:t>
            </w:r>
            <w:r w:rsidR="00AA76C9">
              <w:rPr>
                <w:i/>
                <w:iCs/>
                <w:sz w:val="18"/>
                <w:szCs w:val="18"/>
              </w:rPr>
              <w:t xml:space="preserve"> </w:t>
            </w:r>
            <w:r w:rsidRPr="00C24828">
              <w:rPr>
                <w:i/>
                <w:iCs/>
                <w:sz w:val="18"/>
                <w:szCs w:val="18"/>
              </w:rPr>
              <w:t>a fondů</w:t>
            </w:r>
          </w:p>
        </w:tc>
        <w:tc>
          <w:tcPr>
            <w:tcW w:w="1134" w:type="dxa"/>
            <w:tcBorders>
              <w:top w:val="nil"/>
              <w:left w:val="nil"/>
              <w:bottom w:val="single" w:sz="4" w:space="0" w:color="auto"/>
              <w:right w:val="single" w:sz="4" w:space="0" w:color="auto"/>
            </w:tcBorders>
            <w:shd w:val="clear" w:color="000000" w:fill="FFFFFF"/>
            <w:vAlign w:val="center"/>
            <w:hideMark/>
          </w:tcPr>
          <w:p w:rsidR="00C24828" w:rsidRPr="00C24828" w:rsidRDefault="00C24828" w:rsidP="00C24828">
            <w:pPr>
              <w:jc w:val="right"/>
              <w:rPr>
                <w:i/>
                <w:sz w:val="18"/>
                <w:szCs w:val="18"/>
              </w:rPr>
            </w:pPr>
            <w:r w:rsidRPr="00C24828">
              <w:rPr>
                <w:i/>
                <w:sz w:val="18"/>
                <w:szCs w:val="18"/>
              </w:rPr>
              <w:t>0,0</w:t>
            </w:r>
          </w:p>
        </w:tc>
        <w:tc>
          <w:tcPr>
            <w:tcW w:w="993" w:type="dxa"/>
            <w:tcBorders>
              <w:top w:val="nil"/>
              <w:left w:val="nil"/>
              <w:bottom w:val="single" w:sz="4" w:space="0" w:color="auto"/>
              <w:right w:val="nil"/>
            </w:tcBorders>
            <w:shd w:val="clear" w:color="000000" w:fill="FFFFFF"/>
            <w:vAlign w:val="center"/>
            <w:hideMark/>
          </w:tcPr>
          <w:p w:rsidR="00C24828" w:rsidRPr="00C24828" w:rsidRDefault="00C24828" w:rsidP="00C24828">
            <w:pPr>
              <w:jc w:val="right"/>
              <w:rPr>
                <w:i/>
                <w:iCs/>
                <w:sz w:val="18"/>
                <w:szCs w:val="18"/>
              </w:rPr>
            </w:pPr>
            <w:r w:rsidRPr="00C24828">
              <w:rPr>
                <w:i/>
                <w:iCs/>
                <w:sz w:val="18"/>
                <w:szCs w:val="18"/>
              </w:rPr>
              <w:t>2 003,1</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C24828" w:rsidRPr="00C24828" w:rsidRDefault="00C24828" w:rsidP="00F164A3">
            <w:pPr>
              <w:jc w:val="center"/>
              <w:rPr>
                <w:i/>
                <w:sz w:val="18"/>
                <w:szCs w:val="18"/>
              </w:rPr>
            </w:pPr>
            <w:r w:rsidRPr="00C24828">
              <w:rPr>
                <w:i/>
                <w:sz w:val="18"/>
                <w:szCs w:val="18"/>
              </w:rPr>
              <w:t>0,2</w:t>
            </w:r>
          </w:p>
        </w:tc>
        <w:tc>
          <w:tcPr>
            <w:tcW w:w="992" w:type="dxa"/>
            <w:tcBorders>
              <w:top w:val="nil"/>
              <w:left w:val="nil"/>
              <w:bottom w:val="single" w:sz="4" w:space="0" w:color="auto"/>
              <w:right w:val="nil"/>
            </w:tcBorders>
            <w:shd w:val="clear" w:color="000000" w:fill="FFFFFF"/>
            <w:vAlign w:val="center"/>
            <w:hideMark/>
          </w:tcPr>
          <w:p w:rsidR="00C24828" w:rsidRPr="00C24828" w:rsidRDefault="00C24828" w:rsidP="00C24828">
            <w:pPr>
              <w:jc w:val="right"/>
              <w:rPr>
                <w:i/>
                <w:sz w:val="18"/>
                <w:szCs w:val="18"/>
              </w:rPr>
            </w:pPr>
            <w:r w:rsidRPr="00C24828">
              <w:rPr>
                <w:i/>
                <w:sz w:val="18"/>
                <w:szCs w:val="18"/>
              </w:rPr>
              <w:t>2 003,1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C24828" w:rsidRPr="00C24828" w:rsidRDefault="00C24828" w:rsidP="0004552C">
            <w:pPr>
              <w:jc w:val="center"/>
              <w:rPr>
                <w:i/>
                <w:sz w:val="18"/>
                <w:szCs w:val="18"/>
              </w:rPr>
            </w:pPr>
            <w:r w:rsidRPr="00C24828">
              <w:rPr>
                <w:i/>
                <w:sz w:val="18"/>
                <w:szCs w:val="18"/>
              </w:rPr>
              <w:t>0,3</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C24828" w:rsidRPr="00C24828" w:rsidRDefault="00C24828" w:rsidP="0004552C">
            <w:pPr>
              <w:jc w:val="center"/>
              <w:rPr>
                <w:i/>
                <w:sz w:val="18"/>
                <w:szCs w:val="18"/>
              </w:rPr>
            </w:pPr>
            <w:r w:rsidRPr="00C24828">
              <w:rPr>
                <w:i/>
                <w:sz w:val="18"/>
                <w:szCs w:val="18"/>
              </w:rPr>
              <w:t>100,0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C24828" w:rsidRPr="00C24828" w:rsidRDefault="00C24828" w:rsidP="00C24828">
            <w:pPr>
              <w:jc w:val="right"/>
              <w:rPr>
                <w:i/>
                <w:iCs/>
                <w:sz w:val="18"/>
                <w:szCs w:val="18"/>
              </w:rPr>
            </w:pPr>
            <w:r w:rsidRPr="00C24828">
              <w:rPr>
                <w:i/>
                <w:iCs/>
                <w:sz w:val="18"/>
                <w:szCs w:val="18"/>
              </w:rPr>
              <w:t>26 346,1</w:t>
            </w:r>
          </w:p>
        </w:tc>
      </w:tr>
      <w:tr w:rsidR="00E901C7" w:rsidRPr="00C24828" w:rsidTr="005E2BA1">
        <w:trPr>
          <w:trHeight w:val="589"/>
        </w:trPr>
        <w:tc>
          <w:tcPr>
            <w:tcW w:w="2268" w:type="dxa"/>
            <w:tcBorders>
              <w:top w:val="nil"/>
              <w:left w:val="single" w:sz="4" w:space="0" w:color="auto"/>
              <w:bottom w:val="single" w:sz="4" w:space="0" w:color="auto"/>
              <w:right w:val="single" w:sz="4" w:space="0" w:color="auto"/>
            </w:tcBorders>
            <w:shd w:val="clear" w:color="auto" w:fill="EEECE1"/>
            <w:vAlign w:val="center"/>
            <w:hideMark/>
          </w:tcPr>
          <w:p w:rsidR="00C24828" w:rsidRPr="00C24828" w:rsidRDefault="00C24828" w:rsidP="00C24828">
            <w:pPr>
              <w:rPr>
                <w:b/>
                <w:bCs/>
                <w:sz w:val="18"/>
                <w:szCs w:val="18"/>
              </w:rPr>
            </w:pPr>
            <w:r w:rsidRPr="00C24828">
              <w:rPr>
                <w:b/>
                <w:bCs/>
                <w:sz w:val="18"/>
                <w:szCs w:val="18"/>
              </w:rPr>
              <w:t>Příjmy celkem</w:t>
            </w:r>
          </w:p>
        </w:tc>
        <w:tc>
          <w:tcPr>
            <w:tcW w:w="1134" w:type="dxa"/>
            <w:tcBorders>
              <w:top w:val="nil"/>
              <w:left w:val="nil"/>
              <w:bottom w:val="single" w:sz="4" w:space="0" w:color="auto"/>
              <w:right w:val="single" w:sz="4" w:space="0" w:color="auto"/>
            </w:tcBorders>
            <w:shd w:val="clear" w:color="auto" w:fill="EEECE1"/>
            <w:vAlign w:val="center"/>
            <w:hideMark/>
          </w:tcPr>
          <w:p w:rsidR="00C24828" w:rsidRPr="00C24828" w:rsidRDefault="00C24828" w:rsidP="00C24828">
            <w:pPr>
              <w:jc w:val="right"/>
              <w:rPr>
                <w:b/>
                <w:bCs/>
                <w:sz w:val="18"/>
                <w:szCs w:val="18"/>
              </w:rPr>
            </w:pPr>
            <w:r w:rsidRPr="00C24828">
              <w:rPr>
                <w:b/>
                <w:bCs/>
                <w:sz w:val="18"/>
                <w:szCs w:val="18"/>
              </w:rPr>
              <w:t>581 550,8</w:t>
            </w:r>
          </w:p>
        </w:tc>
        <w:tc>
          <w:tcPr>
            <w:tcW w:w="993" w:type="dxa"/>
            <w:tcBorders>
              <w:top w:val="nil"/>
              <w:left w:val="nil"/>
              <w:bottom w:val="single" w:sz="4" w:space="0" w:color="auto"/>
              <w:right w:val="single" w:sz="4" w:space="0" w:color="auto"/>
            </w:tcBorders>
            <w:shd w:val="clear" w:color="auto" w:fill="EEECE1"/>
            <w:vAlign w:val="center"/>
            <w:hideMark/>
          </w:tcPr>
          <w:p w:rsidR="00C24828" w:rsidRPr="00C24828" w:rsidRDefault="00C24828" w:rsidP="00C24828">
            <w:pPr>
              <w:jc w:val="right"/>
              <w:rPr>
                <w:b/>
                <w:bCs/>
                <w:sz w:val="18"/>
                <w:szCs w:val="18"/>
              </w:rPr>
            </w:pPr>
            <w:r w:rsidRPr="00C24828">
              <w:rPr>
                <w:b/>
                <w:bCs/>
                <w:sz w:val="18"/>
                <w:szCs w:val="18"/>
              </w:rPr>
              <w:t>820 563,9</w:t>
            </w:r>
          </w:p>
        </w:tc>
        <w:tc>
          <w:tcPr>
            <w:tcW w:w="850" w:type="dxa"/>
            <w:tcBorders>
              <w:top w:val="nil"/>
              <w:left w:val="nil"/>
              <w:bottom w:val="single" w:sz="4" w:space="0" w:color="auto"/>
              <w:right w:val="single" w:sz="4" w:space="0" w:color="auto"/>
            </w:tcBorders>
            <w:shd w:val="clear" w:color="auto" w:fill="EEECE1"/>
            <w:vAlign w:val="center"/>
            <w:hideMark/>
          </w:tcPr>
          <w:p w:rsidR="00C24828" w:rsidRPr="00C24828" w:rsidRDefault="00C24828" w:rsidP="00F164A3">
            <w:pPr>
              <w:jc w:val="center"/>
              <w:rPr>
                <w:b/>
                <w:bCs/>
                <w:sz w:val="18"/>
                <w:szCs w:val="18"/>
              </w:rPr>
            </w:pPr>
            <w:r w:rsidRPr="00C24828">
              <w:rPr>
                <w:b/>
                <w:bCs/>
                <w:sz w:val="18"/>
                <w:szCs w:val="18"/>
              </w:rPr>
              <w:t>100,0</w:t>
            </w:r>
          </w:p>
        </w:tc>
        <w:tc>
          <w:tcPr>
            <w:tcW w:w="992" w:type="dxa"/>
            <w:tcBorders>
              <w:top w:val="nil"/>
              <w:left w:val="nil"/>
              <w:bottom w:val="single" w:sz="4" w:space="0" w:color="auto"/>
              <w:right w:val="single" w:sz="4" w:space="0" w:color="auto"/>
            </w:tcBorders>
            <w:shd w:val="clear" w:color="auto" w:fill="EEECE1"/>
            <w:vAlign w:val="center"/>
            <w:hideMark/>
          </w:tcPr>
          <w:p w:rsidR="00C24828" w:rsidRPr="00C24828" w:rsidRDefault="00C24828" w:rsidP="00A838F4">
            <w:pPr>
              <w:jc w:val="right"/>
              <w:rPr>
                <w:b/>
                <w:bCs/>
                <w:sz w:val="18"/>
                <w:szCs w:val="18"/>
              </w:rPr>
            </w:pPr>
            <w:r w:rsidRPr="00C24828">
              <w:rPr>
                <w:b/>
                <w:bCs/>
                <w:sz w:val="18"/>
                <w:szCs w:val="18"/>
              </w:rPr>
              <w:t>791 610,</w:t>
            </w:r>
            <w:r w:rsidR="00A838F4">
              <w:rPr>
                <w:b/>
                <w:bCs/>
                <w:sz w:val="18"/>
                <w:szCs w:val="18"/>
              </w:rPr>
              <w:t>1</w:t>
            </w:r>
          </w:p>
        </w:tc>
        <w:tc>
          <w:tcPr>
            <w:tcW w:w="993" w:type="dxa"/>
            <w:tcBorders>
              <w:top w:val="nil"/>
              <w:left w:val="nil"/>
              <w:bottom w:val="single" w:sz="4" w:space="0" w:color="auto"/>
              <w:right w:val="single" w:sz="4" w:space="0" w:color="auto"/>
            </w:tcBorders>
            <w:shd w:val="clear" w:color="auto" w:fill="EEECE1"/>
            <w:vAlign w:val="center"/>
            <w:hideMark/>
          </w:tcPr>
          <w:p w:rsidR="00C24828" w:rsidRPr="00C24828" w:rsidRDefault="00C24828" w:rsidP="0004552C">
            <w:pPr>
              <w:jc w:val="center"/>
              <w:rPr>
                <w:b/>
                <w:bCs/>
                <w:sz w:val="18"/>
                <w:szCs w:val="18"/>
              </w:rPr>
            </w:pPr>
            <w:r w:rsidRPr="00C24828">
              <w:rPr>
                <w:b/>
                <w:bCs/>
                <w:sz w:val="18"/>
                <w:szCs w:val="18"/>
              </w:rPr>
              <w:t>100,0</w:t>
            </w:r>
          </w:p>
        </w:tc>
        <w:tc>
          <w:tcPr>
            <w:tcW w:w="850" w:type="dxa"/>
            <w:tcBorders>
              <w:top w:val="nil"/>
              <w:left w:val="nil"/>
              <w:bottom w:val="single" w:sz="4" w:space="0" w:color="auto"/>
              <w:right w:val="single" w:sz="4" w:space="0" w:color="auto"/>
            </w:tcBorders>
            <w:shd w:val="clear" w:color="auto" w:fill="EEECE1"/>
            <w:vAlign w:val="center"/>
          </w:tcPr>
          <w:p w:rsidR="00C24828" w:rsidRPr="00C24828" w:rsidRDefault="00C24828" w:rsidP="0004552C">
            <w:pPr>
              <w:jc w:val="center"/>
              <w:rPr>
                <w:b/>
                <w:bCs/>
                <w:sz w:val="18"/>
                <w:szCs w:val="18"/>
              </w:rPr>
            </w:pPr>
            <w:r w:rsidRPr="00C24828">
              <w:rPr>
                <w:b/>
                <w:bCs/>
                <w:sz w:val="18"/>
                <w:szCs w:val="18"/>
              </w:rPr>
              <w:t>96,5</w:t>
            </w:r>
          </w:p>
        </w:tc>
        <w:tc>
          <w:tcPr>
            <w:tcW w:w="992" w:type="dxa"/>
            <w:tcBorders>
              <w:top w:val="nil"/>
              <w:left w:val="single" w:sz="4" w:space="0" w:color="auto"/>
              <w:bottom w:val="single" w:sz="4" w:space="0" w:color="auto"/>
              <w:right w:val="single" w:sz="4" w:space="0" w:color="auto"/>
            </w:tcBorders>
            <w:shd w:val="clear" w:color="auto" w:fill="EEECE1"/>
            <w:vAlign w:val="center"/>
            <w:hideMark/>
          </w:tcPr>
          <w:p w:rsidR="00C24828" w:rsidRPr="00C24828" w:rsidRDefault="00C24828" w:rsidP="00C24828">
            <w:pPr>
              <w:jc w:val="right"/>
              <w:rPr>
                <w:b/>
                <w:bCs/>
                <w:sz w:val="18"/>
                <w:szCs w:val="18"/>
              </w:rPr>
            </w:pPr>
            <w:r w:rsidRPr="00C24828">
              <w:rPr>
                <w:b/>
                <w:bCs/>
                <w:sz w:val="18"/>
                <w:szCs w:val="18"/>
              </w:rPr>
              <w:t>741 431,6</w:t>
            </w:r>
          </w:p>
        </w:tc>
      </w:tr>
    </w:tbl>
    <w:p w:rsidR="00C24828" w:rsidRDefault="00C24828" w:rsidP="009D3B1D">
      <w:pPr>
        <w:jc w:val="both"/>
        <w:rPr>
          <w:sz w:val="22"/>
          <w:szCs w:val="22"/>
        </w:rPr>
      </w:pPr>
    </w:p>
    <w:p w:rsidR="00EA5DAA" w:rsidRPr="00AE2EBC" w:rsidRDefault="00314475" w:rsidP="00B669A9">
      <w:pPr>
        <w:jc w:val="both"/>
        <w:rPr>
          <w:sz w:val="22"/>
          <w:szCs w:val="22"/>
        </w:rPr>
      </w:pPr>
      <w:r>
        <w:rPr>
          <w:sz w:val="22"/>
          <w:szCs w:val="22"/>
        </w:rPr>
        <w:t>T</w:t>
      </w:r>
      <w:r w:rsidR="00EA2CAE" w:rsidRPr="00B159B3">
        <w:rPr>
          <w:sz w:val="22"/>
          <w:szCs w:val="22"/>
        </w:rPr>
        <w:t xml:space="preserve">abulka </w:t>
      </w:r>
      <w:r w:rsidR="00D05AAE" w:rsidRPr="00B159B3">
        <w:rPr>
          <w:sz w:val="22"/>
          <w:szCs w:val="22"/>
        </w:rPr>
        <w:t>u</w:t>
      </w:r>
      <w:r w:rsidR="00EA2CAE" w:rsidRPr="00B159B3">
        <w:rPr>
          <w:sz w:val="22"/>
          <w:szCs w:val="22"/>
        </w:rPr>
        <w:t>kazuje procentní plnění jednotlivých druhů příjmů ve vztahu k upravenému rozpočtu a dos</w:t>
      </w:r>
      <w:r w:rsidR="00EA2CAE" w:rsidRPr="00B159B3">
        <w:rPr>
          <w:sz w:val="22"/>
          <w:szCs w:val="22"/>
        </w:rPr>
        <w:t>a</w:t>
      </w:r>
      <w:r w:rsidR="00EA2CAE" w:rsidRPr="00B159B3">
        <w:rPr>
          <w:sz w:val="22"/>
          <w:szCs w:val="22"/>
        </w:rPr>
        <w:t>žené skutečnosti.</w:t>
      </w:r>
      <w:r w:rsidR="000C48CA">
        <w:rPr>
          <w:sz w:val="22"/>
          <w:szCs w:val="22"/>
        </w:rPr>
        <w:t xml:space="preserve"> </w:t>
      </w:r>
      <w:r w:rsidR="000C48CA" w:rsidRPr="00B159B3">
        <w:rPr>
          <w:sz w:val="22"/>
          <w:szCs w:val="22"/>
        </w:rPr>
        <w:t>Podrobný rozpis plnění příjmové části rozpočtu dle jednotlivých druhů je uveden v příloze č. 1.</w:t>
      </w:r>
    </w:p>
    <w:p w:rsidR="007C4369" w:rsidRDefault="00F0180B" w:rsidP="00B669A9">
      <w:pPr>
        <w:jc w:val="both"/>
        <w:rPr>
          <w:b/>
          <w:sz w:val="22"/>
          <w:szCs w:val="22"/>
        </w:rPr>
      </w:pPr>
      <w:r>
        <w:rPr>
          <w:b/>
          <w:sz w:val="22"/>
          <w:szCs w:val="22"/>
        </w:rPr>
        <w:t xml:space="preserve"> </w:t>
      </w:r>
    </w:p>
    <w:p w:rsidR="00F0180B" w:rsidRDefault="00F0180B" w:rsidP="00F0180B">
      <w:pPr>
        <w:pStyle w:val="Nadpis5"/>
        <w:rPr>
          <w:rStyle w:val="Siln"/>
          <w:sz w:val="22"/>
          <w:szCs w:val="22"/>
        </w:rPr>
      </w:pPr>
      <w:bookmarkStart w:id="15" w:name="_Toc385875202"/>
      <w:r>
        <w:rPr>
          <w:rStyle w:val="Siln"/>
          <w:sz w:val="22"/>
          <w:szCs w:val="22"/>
        </w:rPr>
        <w:t xml:space="preserve">Třída 8 </w:t>
      </w:r>
      <w:r w:rsidR="0004552C">
        <w:rPr>
          <w:rStyle w:val="Siln"/>
          <w:sz w:val="22"/>
          <w:szCs w:val="22"/>
        </w:rPr>
        <w:t>F</w:t>
      </w:r>
      <w:r w:rsidR="00F133D5">
        <w:rPr>
          <w:rStyle w:val="Siln"/>
          <w:sz w:val="22"/>
          <w:szCs w:val="22"/>
        </w:rPr>
        <w:t>inancování</w:t>
      </w:r>
      <w:bookmarkEnd w:id="15"/>
    </w:p>
    <w:p w:rsidR="00F133D5" w:rsidRDefault="00F133D5" w:rsidP="00F133D5">
      <w:pPr>
        <w:rPr>
          <w:sz w:val="22"/>
          <w:szCs w:val="22"/>
        </w:rPr>
      </w:pPr>
      <w:r w:rsidRPr="00F133D5">
        <w:rPr>
          <w:sz w:val="22"/>
          <w:szCs w:val="22"/>
        </w:rPr>
        <w:t>V třídě 8 se promí</w:t>
      </w:r>
      <w:r w:rsidR="0073348E">
        <w:rPr>
          <w:sz w:val="22"/>
          <w:szCs w:val="22"/>
        </w:rPr>
        <w:t>tají ostatní finanční operace, které mají vliv na hospodaření městské části</w:t>
      </w:r>
      <w:r w:rsidR="009D6D1E">
        <w:rPr>
          <w:sz w:val="22"/>
          <w:szCs w:val="22"/>
        </w:rPr>
        <w:t>.</w:t>
      </w:r>
    </w:p>
    <w:p w:rsidR="0073348E" w:rsidRDefault="0073348E" w:rsidP="00F133D5">
      <w:pPr>
        <w:rPr>
          <w:sz w:val="22"/>
          <w:szCs w:val="22"/>
        </w:rPr>
      </w:pPr>
    </w:p>
    <w:p w:rsidR="0073348E" w:rsidRPr="0073348E" w:rsidRDefault="0073348E" w:rsidP="00F133D5">
      <w:pPr>
        <w:rPr>
          <w:b/>
          <w:sz w:val="22"/>
          <w:szCs w:val="22"/>
        </w:rPr>
      </w:pPr>
      <w:r w:rsidRPr="0073348E">
        <w:rPr>
          <w:b/>
          <w:sz w:val="22"/>
          <w:szCs w:val="22"/>
        </w:rPr>
        <w:t>Přehled operací v třídě 8</w:t>
      </w:r>
    </w:p>
    <w:p w:rsidR="00F0180B" w:rsidRPr="00F0180B" w:rsidRDefault="00F0180B" w:rsidP="00F0180B">
      <w:pPr>
        <w:jc w:val="right"/>
        <w:rPr>
          <w:rStyle w:val="Siln"/>
          <w:sz w:val="22"/>
          <w:szCs w:val="22"/>
        </w:rPr>
      </w:pPr>
      <w:r w:rsidRPr="00F0180B">
        <w:rPr>
          <w:rStyle w:val="Siln"/>
          <w:b w:val="0"/>
          <w:sz w:val="22"/>
          <w:szCs w:val="22"/>
        </w:rPr>
        <w:t>v tis. Kč</w:t>
      </w:r>
    </w:p>
    <w:tbl>
      <w:tblPr>
        <w:tblW w:w="9072" w:type="dxa"/>
        <w:tblInd w:w="10" w:type="dxa"/>
        <w:tblLayout w:type="fixed"/>
        <w:tblCellMar>
          <w:left w:w="0" w:type="dxa"/>
          <w:right w:w="0" w:type="dxa"/>
        </w:tblCellMar>
        <w:tblLook w:val="0000"/>
      </w:tblPr>
      <w:tblGrid>
        <w:gridCol w:w="709"/>
        <w:gridCol w:w="3544"/>
        <w:gridCol w:w="1559"/>
        <w:gridCol w:w="1559"/>
        <w:gridCol w:w="1701"/>
      </w:tblGrid>
      <w:tr w:rsidR="002F5906" w:rsidRPr="00C4542A" w:rsidTr="00FB4A69">
        <w:trPr>
          <w:trHeight w:val="525"/>
        </w:trPr>
        <w:tc>
          <w:tcPr>
            <w:tcW w:w="709" w:type="dxa"/>
            <w:tcBorders>
              <w:top w:val="single" w:sz="4" w:space="0" w:color="auto"/>
              <w:left w:val="single" w:sz="8" w:space="0" w:color="auto"/>
              <w:bottom w:val="single" w:sz="4" w:space="0" w:color="auto"/>
              <w:right w:val="single" w:sz="4" w:space="0" w:color="auto"/>
            </w:tcBorders>
            <w:shd w:val="clear" w:color="auto" w:fill="EEECE1"/>
            <w:noWrap/>
            <w:vAlign w:val="center"/>
          </w:tcPr>
          <w:p w:rsidR="002F5906" w:rsidRPr="00C4542A" w:rsidRDefault="002F5906" w:rsidP="00EC0A59">
            <w:pPr>
              <w:jc w:val="center"/>
              <w:rPr>
                <w:b/>
                <w:bCs/>
                <w:sz w:val="20"/>
                <w:szCs w:val="20"/>
              </w:rPr>
            </w:pPr>
            <w:r w:rsidRPr="00C4542A">
              <w:rPr>
                <w:b/>
                <w:bCs/>
                <w:sz w:val="20"/>
                <w:szCs w:val="20"/>
              </w:rPr>
              <w:t xml:space="preserve">Položka </w:t>
            </w:r>
          </w:p>
        </w:tc>
        <w:tc>
          <w:tcPr>
            <w:tcW w:w="3544" w:type="dxa"/>
            <w:tcBorders>
              <w:top w:val="single" w:sz="4" w:space="0" w:color="auto"/>
              <w:left w:val="nil"/>
              <w:bottom w:val="single" w:sz="4" w:space="0" w:color="auto"/>
              <w:right w:val="single" w:sz="4" w:space="0" w:color="auto"/>
            </w:tcBorders>
            <w:shd w:val="clear" w:color="auto" w:fill="EEECE1"/>
            <w:vAlign w:val="center"/>
          </w:tcPr>
          <w:p w:rsidR="002F5906" w:rsidRPr="00C4542A" w:rsidRDefault="002F5906" w:rsidP="002F5906">
            <w:pPr>
              <w:jc w:val="center"/>
              <w:rPr>
                <w:b/>
                <w:bCs/>
                <w:sz w:val="20"/>
                <w:szCs w:val="20"/>
              </w:rPr>
            </w:pPr>
            <w:r w:rsidRPr="00C4542A">
              <w:rPr>
                <w:b/>
                <w:bCs/>
                <w:sz w:val="20"/>
                <w:szCs w:val="20"/>
              </w:rPr>
              <w:t xml:space="preserve">Název položek </w:t>
            </w:r>
          </w:p>
        </w:tc>
        <w:tc>
          <w:tcPr>
            <w:tcW w:w="1559" w:type="dxa"/>
            <w:tcBorders>
              <w:top w:val="single" w:sz="4" w:space="0" w:color="auto"/>
              <w:left w:val="single" w:sz="4" w:space="0" w:color="auto"/>
              <w:bottom w:val="single" w:sz="4" w:space="0" w:color="auto"/>
              <w:right w:val="single" w:sz="4" w:space="0" w:color="auto"/>
            </w:tcBorders>
            <w:shd w:val="clear" w:color="auto" w:fill="EEECE1"/>
            <w:vAlign w:val="center"/>
          </w:tcPr>
          <w:p w:rsidR="002F5906" w:rsidRDefault="002F5906" w:rsidP="00EC0A59">
            <w:pPr>
              <w:jc w:val="center"/>
              <w:rPr>
                <w:b/>
                <w:bCs/>
                <w:sz w:val="20"/>
                <w:szCs w:val="20"/>
              </w:rPr>
            </w:pPr>
            <w:r w:rsidRPr="00C4542A">
              <w:rPr>
                <w:b/>
                <w:bCs/>
                <w:sz w:val="20"/>
                <w:szCs w:val="20"/>
              </w:rPr>
              <w:t xml:space="preserve">Schválený </w:t>
            </w:r>
          </w:p>
          <w:p w:rsidR="002F5906" w:rsidRPr="00C4542A" w:rsidRDefault="002F5906" w:rsidP="00EC0A59">
            <w:pPr>
              <w:jc w:val="center"/>
              <w:rPr>
                <w:b/>
                <w:bCs/>
                <w:sz w:val="20"/>
                <w:szCs w:val="20"/>
              </w:rPr>
            </w:pPr>
            <w:r w:rsidRPr="00C4542A">
              <w:rPr>
                <w:b/>
                <w:bCs/>
                <w:sz w:val="20"/>
                <w:szCs w:val="20"/>
              </w:rPr>
              <w:t xml:space="preserve">rozpočet </w:t>
            </w:r>
          </w:p>
        </w:tc>
        <w:tc>
          <w:tcPr>
            <w:tcW w:w="1559" w:type="dxa"/>
            <w:tcBorders>
              <w:top w:val="single" w:sz="4" w:space="0" w:color="auto"/>
              <w:left w:val="single" w:sz="4" w:space="0" w:color="auto"/>
              <w:bottom w:val="single" w:sz="4" w:space="0" w:color="auto"/>
              <w:right w:val="single" w:sz="4" w:space="0" w:color="auto"/>
            </w:tcBorders>
            <w:shd w:val="clear" w:color="auto" w:fill="EEECE1"/>
            <w:vAlign w:val="center"/>
          </w:tcPr>
          <w:p w:rsidR="002F5906" w:rsidRPr="00C4542A" w:rsidRDefault="002F5906" w:rsidP="00EC0A59">
            <w:pPr>
              <w:jc w:val="center"/>
              <w:rPr>
                <w:b/>
                <w:bCs/>
                <w:sz w:val="20"/>
                <w:szCs w:val="20"/>
              </w:rPr>
            </w:pPr>
            <w:r w:rsidRPr="00C4542A">
              <w:rPr>
                <w:b/>
                <w:bCs/>
                <w:sz w:val="20"/>
                <w:szCs w:val="20"/>
              </w:rPr>
              <w:t>Upravený rozp</w:t>
            </w:r>
            <w:r w:rsidRPr="00C4542A">
              <w:rPr>
                <w:b/>
                <w:bCs/>
                <w:sz w:val="20"/>
                <w:szCs w:val="20"/>
              </w:rPr>
              <w:t>o</w:t>
            </w:r>
            <w:r w:rsidRPr="00C4542A">
              <w:rPr>
                <w:b/>
                <w:bCs/>
                <w:sz w:val="20"/>
                <w:szCs w:val="20"/>
              </w:rPr>
              <w:t xml:space="preserve">čet </w:t>
            </w:r>
          </w:p>
        </w:tc>
        <w:tc>
          <w:tcPr>
            <w:tcW w:w="1701" w:type="dxa"/>
            <w:tcBorders>
              <w:top w:val="single" w:sz="4" w:space="0" w:color="auto"/>
              <w:left w:val="single" w:sz="4" w:space="0" w:color="auto"/>
              <w:bottom w:val="single" w:sz="4" w:space="0" w:color="auto"/>
              <w:right w:val="single" w:sz="4" w:space="0" w:color="auto"/>
            </w:tcBorders>
            <w:shd w:val="clear" w:color="auto" w:fill="EEECE1"/>
            <w:vAlign w:val="center"/>
          </w:tcPr>
          <w:p w:rsidR="002F5906" w:rsidRPr="00C4542A" w:rsidRDefault="002F5906" w:rsidP="00EC0A59">
            <w:pPr>
              <w:jc w:val="center"/>
              <w:rPr>
                <w:b/>
                <w:bCs/>
                <w:sz w:val="20"/>
                <w:szCs w:val="20"/>
              </w:rPr>
            </w:pPr>
            <w:r w:rsidRPr="00C4542A">
              <w:rPr>
                <w:b/>
                <w:bCs/>
                <w:sz w:val="20"/>
                <w:szCs w:val="20"/>
              </w:rPr>
              <w:t>Skutečnost</w:t>
            </w:r>
          </w:p>
          <w:p w:rsidR="002F5906" w:rsidRPr="00C4542A" w:rsidRDefault="00FB4A69" w:rsidP="002F5906">
            <w:pPr>
              <w:jc w:val="center"/>
              <w:rPr>
                <w:b/>
                <w:bCs/>
                <w:sz w:val="20"/>
                <w:szCs w:val="20"/>
              </w:rPr>
            </w:pPr>
            <w:r>
              <w:rPr>
                <w:b/>
                <w:bCs/>
                <w:sz w:val="20"/>
                <w:szCs w:val="20"/>
              </w:rPr>
              <w:t xml:space="preserve">k </w:t>
            </w:r>
            <w:r w:rsidR="002F5906" w:rsidRPr="00C4542A">
              <w:rPr>
                <w:b/>
                <w:bCs/>
                <w:sz w:val="20"/>
                <w:szCs w:val="20"/>
              </w:rPr>
              <w:t>31.12.2013</w:t>
            </w:r>
          </w:p>
        </w:tc>
      </w:tr>
      <w:tr w:rsidR="002F5906" w:rsidRPr="00C4542A" w:rsidTr="00FB4A69">
        <w:trPr>
          <w:trHeight w:val="288"/>
        </w:trPr>
        <w:tc>
          <w:tcPr>
            <w:tcW w:w="709" w:type="dxa"/>
            <w:tcBorders>
              <w:top w:val="single" w:sz="4" w:space="0" w:color="auto"/>
              <w:left w:val="single" w:sz="8" w:space="0" w:color="auto"/>
              <w:bottom w:val="single" w:sz="4" w:space="0" w:color="auto"/>
              <w:right w:val="single" w:sz="4" w:space="0" w:color="auto"/>
            </w:tcBorders>
            <w:noWrap/>
            <w:vAlign w:val="bottom"/>
          </w:tcPr>
          <w:p w:rsidR="002F5906" w:rsidRPr="00C4542A" w:rsidRDefault="002F5906" w:rsidP="00EC0A59">
            <w:pPr>
              <w:rPr>
                <w:sz w:val="20"/>
                <w:szCs w:val="20"/>
              </w:rPr>
            </w:pPr>
            <w:r w:rsidRPr="00C4542A">
              <w:rPr>
                <w:sz w:val="20"/>
                <w:szCs w:val="20"/>
              </w:rPr>
              <w:t>8115</w:t>
            </w:r>
          </w:p>
        </w:tc>
        <w:tc>
          <w:tcPr>
            <w:tcW w:w="3544" w:type="dxa"/>
            <w:tcBorders>
              <w:top w:val="single" w:sz="4" w:space="0" w:color="auto"/>
              <w:left w:val="nil"/>
              <w:bottom w:val="single" w:sz="4" w:space="0" w:color="auto"/>
              <w:right w:val="single" w:sz="4" w:space="0" w:color="auto"/>
            </w:tcBorders>
            <w:vAlign w:val="bottom"/>
          </w:tcPr>
          <w:p w:rsidR="002F5906" w:rsidRPr="00C4542A" w:rsidRDefault="002F5906" w:rsidP="00EC0A59">
            <w:pPr>
              <w:rPr>
                <w:sz w:val="20"/>
                <w:szCs w:val="20"/>
              </w:rPr>
            </w:pPr>
            <w:r w:rsidRPr="00C4542A">
              <w:rPr>
                <w:sz w:val="20"/>
                <w:szCs w:val="20"/>
              </w:rPr>
              <w:t>Použití fin</w:t>
            </w:r>
            <w:r>
              <w:rPr>
                <w:sz w:val="20"/>
                <w:szCs w:val="20"/>
              </w:rPr>
              <w:t>ančních</w:t>
            </w:r>
            <w:r w:rsidRPr="00C4542A">
              <w:rPr>
                <w:sz w:val="20"/>
                <w:szCs w:val="20"/>
              </w:rPr>
              <w:t xml:space="preserve"> prostředků vytvořených v</w:t>
            </w:r>
            <w:r>
              <w:rPr>
                <w:sz w:val="20"/>
                <w:szCs w:val="20"/>
              </w:rPr>
              <w:t> </w:t>
            </w:r>
            <w:r w:rsidRPr="00C4542A">
              <w:rPr>
                <w:sz w:val="20"/>
                <w:szCs w:val="20"/>
              </w:rPr>
              <w:t>min</w:t>
            </w:r>
            <w:r>
              <w:rPr>
                <w:sz w:val="20"/>
                <w:szCs w:val="20"/>
              </w:rPr>
              <w:t xml:space="preserve">ulých </w:t>
            </w:r>
            <w:r w:rsidRPr="00C4542A">
              <w:rPr>
                <w:sz w:val="20"/>
                <w:szCs w:val="20"/>
              </w:rPr>
              <w:t>let</w:t>
            </w:r>
            <w:r>
              <w:rPr>
                <w:sz w:val="20"/>
                <w:szCs w:val="20"/>
              </w:rPr>
              <w:t>ech</w:t>
            </w:r>
          </w:p>
        </w:tc>
        <w:tc>
          <w:tcPr>
            <w:tcW w:w="1559" w:type="dxa"/>
            <w:tcBorders>
              <w:top w:val="single" w:sz="4" w:space="0" w:color="auto"/>
              <w:left w:val="single" w:sz="4" w:space="0" w:color="auto"/>
              <w:bottom w:val="single" w:sz="4" w:space="0" w:color="auto"/>
              <w:right w:val="single" w:sz="4" w:space="0" w:color="auto"/>
            </w:tcBorders>
            <w:noWrap/>
            <w:vAlign w:val="bottom"/>
          </w:tcPr>
          <w:p w:rsidR="002F5906" w:rsidRPr="00C4542A" w:rsidRDefault="002F5906" w:rsidP="00EC0A59">
            <w:pPr>
              <w:jc w:val="right"/>
              <w:rPr>
                <w:sz w:val="20"/>
                <w:szCs w:val="20"/>
              </w:rPr>
            </w:pPr>
            <w:r w:rsidRPr="00C4542A">
              <w:rPr>
                <w:sz w:val="20"/>
                <w:szCs w:val="20"/>
              </w:rPr>
              <w:t>129.907,50</w:t>
            </w:r>
          </w:p>
        </w:tc>
        <w:tc>
          <w:tcPr>
            <w:tcW w:w="1559" w:type="dxa"/>
            <w:tcBorders>
              <w:top w:val="single" w:sz="4" w:space="0" w:color="auto"/>
              <w:left w:val="single" w:sz="4" w:space="0" w:color="auto"/>
              <w:bottom w:val="single" w:sz="4" w:space="0" w:color="auto"/>
              <w:right w:val="single" w:sz="4" w:space="0" w:color="auto"/>
            </w:tcBorders>
            <w:vAlign w:val="bottom"/>
          </w:tcPr>
          <w:p w:rsidR="002F5906" w:rsidRPr="00C4542A" w:rsidRDefault="002F5906" w:rsidP="00EC0A59">
            <w:pPr>
              <w:jc w:val="right"/>
              <w:rPr>
                <w:sz w:val="20"/>
                <w:szCs w:val="20"/>
              </w:rPr>
            </w:pPr>
            <w:r w:rsidRPr="00C4542A">
              <w:rPr>
                <w:sz w:val="20"/>
                <w:szCs w:val="20"/>
              </w:rPr>
              <w:t>-20.451,90</w:t>
            </w:r>
          </w:p>
        </w:tc>
        <w:tc>
          <w:tcPr>
            <w:tcW w:w="1701" w:type="dxa"/>
            <w:tcBorders>
              <w:top w:val="single" w:sz="4" w:space="0" w:color="auto"/>
              <w:left w:val="single" w:sz="4" w:space="0" w:color="auto"/>
              <w:bottom w:val="single" w:sz="4" w:space="0" w:color="auto"/>
              <w:right w:val="single" w:sz="4" w:space="0" w:color="auto"/>
            </w:tcBorders>
            <w:vAlign w:val="bottom"/>
          </w:tcPr>
          <w:p w:rsidR="002F5906" w:rsidRPr="00C4542A" w:rsidRDefault="002F5906" w:rsidP="00EC0A59">
            <w:pPr>
              <w:jc w:val="right"/>
              <w:rPr>
                <w:sz w:val="20"/>
                <w:szCs w:val="20"/>
              </w:rPr>
            </w:pPr>
            <w:r w:rsidRPr="00C4542A">
              <w:rPr>
                <w:sz w:val="20"/>
                <w:szCs w:val="20"/>
              </w:rPr>
              <w:t>X</w:t>
            </w:r>
          </w:p>
        </w:tc>
      </w:tr>
      <w:tr w:rsidR="002F5906" w:rsidRPr="00C4542A" w:rsidTr="00FB4A69">
        <w:trPr>
          <w:trHeight w:val="255"/>
        </w:trPr>
        <w:tc>
          <w:tcPr>
            <w:tcW w:w="709" w:type="dxa"/>
            <w:tcBorders>
              <w:top w:val="nil"/>
              <w:left w:val="single" w:sz="8" w:space="0" w:color="auto"/>
              <w:bottom w:val="single" w:sz="4" w:space="0" w:color="auto"/>
              <w:right w:val="single" w:sz="4" w:space="0" w:color="auto"/>
            </w:tcBorders>
            <w:noWrap/>
            <w:vAlign w:val="bottom"/>
          </w:tcPr>
          <w:p w:rsidR="002F5906" w:rsidRPr="00C4542A" w:rsidRDefault="002F5906" w:rsidP="00EC0A59">
            <w:pPr>
              <w:rPr>
                <w:sz w:val="20"/>
                <w:szCs w:val="20"/>
              </w:rPr>
            </w:pPr>
            <w:r w:rsidRPr="00C4542A">
              <w:rPr>
                <w:sz w:val="20"/>
                <w:szCs w:val="20"/>
              </w:rPr>
              <w:t>8115</w:t>
            </w:r>
          </w:p>
        </w:tc>
        <w:tc>
          <w:tcPr>
            <w:tcW w:w="3544" w:type="dxa"/>
            <w:tcBorders>
              <w:top w:val="nil"/>
              <w:left w:val="nil"/>
              <w:bottom w:val="single" w:sz="4" w:space="0" w:color="auto"/>
              <w:right w:val="single" w:sz="4" w:space="0" w:color="auto"/>
            </w:tcBorders>
            <w:vAlign w:val="bottom"/>
          </w:tcPr>
          <w:p w:rsidR="002F5906" w:rsidRPr="00C4542A" w:rsidRDefault="002F5906" w:rsidP="00EC0A59">
            <w:pPr>
              <w:rPr>
                <w:sz w:val="20"/>
                <w:szCs w:val="20"/>
              </w:rPr>
            </w:pPr>
            <w:r w:rsidRPr="00C4542A">
              <w:rPr>
                <w:sz w:val="20"/>
                <w:szCs w:val="20"/>
              </w:rPr>
              <w:t xml:space="preserve">Rezerva finančních prostředků </w:t>
            </w:r>
          </w:p>
        </w:tc>
        <w:tc>
          <w:tcPr>
            <w:tcW w:w="1559" w:type="dxa"/>
            <w:tcBorders>
              <w:top w:val="nil"/>
              <w:left w:val="single" w:sz="4" w:space="0" w:color="auto"/>
              <w:bottom w:val="single" w:sz="4" w:space="0" w:color="auto"/>
              <w:right w:val="single" w:sz="4" w:space="0" w:color="auto"/>
            </w:tcBorders>
            <w:noWrap/>
            <w:vAlign w:val="bottom"/>
          </w:tcPr>
          <w:p w:rsidR="002F5906" w:rsidRPr="00C4542A" w:rsidRDefault="002F5906" w:rsidP="00EC0A59">
            <w:pPr>
              <w:jc w:val="right"/>
              <w:rPr>
                <w:sz w:val="20"/>
                <w:szCs w:val="20"/>
              </w:rPr>
            </w:pPr>
          </w:p>
        </w:tc>
        <w:tc>
          <w:tcPr>
            <w:tcW w:w="1559" w:type="dxa"/>
            <w:tcBorders>
              <w:top w:val="nil"/>
              <w:left w:val="single" w:sz="4" w:space="0" w:color="auto"/>
              <w:bottom w:val="single" w:sz="4" w:space="0" w:color="auto"/>
              <w:right w:val="single" w:sz="4" w:space="0" w:color="auto"/>
            </w:tcBorders>
            <w:vAlign w:val="bottom"/>
          </w:tcPr>
          <w:p w:rsidR="002F5906" w:rsidRPr="00C4542A" w:rsidRDefault="002F5906" w:rsidP="00EC0A59">
            <w:pPr>
              <w:jc w:val="right"/>
              <w:rPr>
                <w:sz w:val="20"/>
                <w:szCs w:val="20"/>
              </w:rPr>
            </w:pPr>
            <w:r w:rsidRPr="00C4542A">
              <w:rPr>
                <w:sz w:val="20"/>
                <w:szCs w:val="20"/>
              </w:rPr>
              <w:t>-1.151,00</w:t>
            </w:r>
          </w:p>
        </w:tc>
        <w:tc>
          <w:tcPr>
            <w:tcW w:w="1701" w:type="dxa"/>
            <w:tcBorders>
              <w:top w:val="nil"/>
              <w:left w:val="single" w:sz="4" w:space="0" w:color="auto"/>
              <w:bottom w:val="single" w:sz="4" w:space="0" w:color="auto"/>
              <w:right w:val="single" w:sz="4" w:space="0" w:color="auto"/>
            </w:tcBorders>
            <w:vAlign w:val="bottom"/>
          </w:tcPr>
          <w:p w:rsidR="002F5906" w:rsidRPr="00C4542A" w:rsidRDefault="002F5906" w:rsidP="00EC0A59">
            <w:pPr>
              <w:jc w:val="right"/>
              <w:rPr>
                <w:sz w:val="20"/>
                <w:szCs w:val="20"/>
              </w:rPr>
            </w:pPr>
            <w:r w:rsidRPr="00C4542A">
              <w:rPr>
                <w:sz w:val="20"/>
                <w:szCs w:val="20"/>
              </w:rPr>
              <w:t>X</w:t>
            </w:r>
          </w:p>
        </w:tc>
      </w:tr>
      <w:tr w:rsidR="002F5906" w:rsidRPr="00C4542A" w:rsidTr="00FB4A69">
        <w:trPr>
          <w:trHeight w:val="255"/>
        </w:trPr>
        <w:tc>
          <w:tcPr>
            <w:tcW w:w="709" w:type="dxa"/>
            <w:tcBorders>
              <w:top w:val="nil"/>
              <w:left w:val="single" w:sz="8" w:space="0" w:color="auto"/>
              <w:bottom w:val="single" w:sz="4" w:space="0" w:color="auto"/>
              <w:right w:val="single" w:sz="4" w:space="0" w:color="auto"/>
            </w:tcBorders>
            <w:noWrap/>
            <w:vAlign w:val="bottom"/>
          </w:tcPr>
          <w:p w:rsidR="002F5906" w:rsidRPr="00C4542A" w:rsidRDefault="002F5906" w:rsidP="00EC0A59">
            <w:pPr>
              <w:rPr>
                <w:sz w:val="20"/>
                <w:szCs w:val="20"/>
              </w:rPr>
            </w:pPr>
            <w:r w:rsidRPr="00C4542A">
              <w:rPr>
                <w:sz w:val="20"/>
                <w:szCs w:val="20"/>
              </w:rPr>
              <w:t>8115</w:t>
            </w:r>
          </w:p>
        </w:tc>
        <w:tc>
          <w:tcPr>
            <w:tcW w:w="3544" w:type="dxa"/>
            <w:tcBorders>
              <w:top w:val="nil"/>
              <w:left w:val="nil"/>
              <w:bottom w:val="single" w:sz="4" w:space="0" w:color="auto"/>
              <w:right w:val="single" w:sz="4" w:space="0" w:color="auto"/>
            </w:tcBorders>
            <w:vAlign w:val="bottom"/>
          </w:tcPr>
          <w:p w:rsidR="002F5906" w:rsidRPr="00C4542A" w:rsidRDefault="002F5906" w:rsidP="00EC0A59">
            <w:pPr>
              <w:rPr>
                <w:sz w:val="20"/>
                <w:szCs w:val="20"/>
              </w:rPr>
            </w:pPr>
            <w:r w:rsidRPr="00C4542A">
              <w:rPr>
                <w:sz w:val="20"/>
                <w:szCs w:val="20"/>
              </w:rPr>
              <w:t>Změna stavu krátk. prostředků (součet)</w:t>
            </w:r>
          </w:p>
        </w:tc>
        <w:tc>
          <w:tcPr>
            <w:tcW w:w="1559" w:type="dxa"/>
            <w:tcBorders>
              <w:top w:val="nil"/>
              <w:left w:val="single" w:sz="4" w:space="0" w:color="auto"/>
              <w:bottom w:val="single" w:sz="4" w:space="0" w:color="auto"/>
              <w:right w:val="single" w:sz="4" w:space="0" w:color="auto"/>
            </w:tcBorders>
            <w:noWrap/>
            <w:vAlign w:val="bottom"/>
          </w:tcPr>
          <w:p w:rsidR="002F5906" w:rsidRPr="00C4542A" w:rsidRDefault="002F5906" w:rsidP="00EC0A59">
            <w:pPr>
              <w:jc w:val="right"/>
              <w:rPr>
                <w:sz w:val="20"/>
                <w:szCs w:val="20"/>
              </w:rPr>
            </w:pPr>
            <w:r w:rsidRPr="00C4542A">
              <w:rPr>
                <w:sz w:val="20"/>
                <w:szCs w:val="20"/>
              </w:rPr>
              <w:t>129.907,50</w:t>
            </w:r>
          </w:p>
        </w:tc>
        <w:tc>
          <w:tcPr>
            <w:tcW w:w="1559" w:type="dxa"/>
            <w:tcBorders>
              <w:top w:val="nil"/>
              <w:left w:val="single" w:sz="4" w:space="0" w:color="auto"/>
              <w:bottom w:val="single" w:sz="4" w:space="0" w:color="auto"/>
              <w:right w:val="single" w:sz="4" w:space="0" w:color="auto"/>
            </w:tcBorders>
            <w:vAlign w:val="bottom"/>
          </w:tcPr>
          <w:p w:rsidR="002F5906" w:rsidRPr="00C4542A" w:rsidRDefault="002F5906" w:rsidP="00EC0A59">
            <w:pPr>
              <w:jc w:val="right"/>
              <w:rPr>
                <w:sz w:val="20"/>
                <w:szCs w:val="20"/>
              </w:rPr>
            </w:pPr>
            <w:r w:rsidRPr="00C4542A">
              <w:rPr>
                <w:sz w:val="20"/>
                <w:szCs w:val="20"/>
              </w:rPr>
              <w:t>-21.602,90</w:t>
            </w:r>
          </w:p>
        </w:tc>
        <w:tc>
          <w:tcPr>
            <w:tcW w:w="1701" w:type="dxa"/>
            <w:tcBorders>
              <w:top w:val="nil"/>
              <w:left w:val="single" w:sz="4" w:space="0" w:color="auto"/>
              <w:bottom w:val="single" w:sz="4" w:space="0" w:color="auto"/>
              <w:right w:val="single" w:sz="4" w:space="0" w:color="auto"/>
            </w:tcBorders>
            <w:vAlign w:val="bottom"/>
          </w:tcPr>
          <w:p w:rsidR="002F5906" w:rsidRPr="00C4542A" w:rsidRDefault="002F5906" w:rsidP="00EC0A59">
            <w:pPr>
              <w:jc w:val="right"/>
              <w:rPr>
                <w:sz w:val="20"/>
                <w:szCs w:val="20"/>
              </w:rPr>
            </w:pPr>
            <w:r w:rsidRPr="00C4542A">
              <w:rPr>
                <w:sz w:val="20"/>
                <w:szCs w:val="20"/>
              </w:rPr>
              <w:t>-111.333,88</w:t>
            </w:r>
          </w:p>
        </w:tc>
      </w:tr>
      <w:tr w:rsidR="002F5906" w:rsidRPr="00C4542A" w:rsidTr="00FB4A69">
        <w:trPr>
          <w:trHeight w:val="255"/>
        </w:trPr>
        <w:tc>
          <w:tcPr>
            <w:tcW w:w="709" w:type="dxa"/>
            <w:tcBorders>
              <w:top w:val="nil"/>
              <w:left w:val="single" w:sz="8" w:space="0" w:color="auto"/>
              <w:bottom w:val="single" w:sz="4" w:space="0" w:color="auto"/>
              <w:right w:val="single" w:sz="4" w:space="0" w:color="auto"/>
            </w:tcBorders>
            <w:noWrap/>
            <w:vAlign w:val="bottom"/>
          </w:tcPr>
          <w:p w:rsidR="002F5906" w:rsidRPr="00C4542A" w:rsidRDefault="002F5906" w:rsidP="00EC0A59">
            <w:pPr>
              <w:rPr>
                <w:sz w:val="20"/>
                <w:szCs w:val="20"/>
              </w:rPr>
            </w:pPr>
            <w:r w:rsidRPr="00C4542A">
              <w:rPr>
                <w:sz w:val="20"/>
                <w:szCs w:val="20"/>
              </w:rPr>
              <w:t>8XX7</w:t>
            </w:r>
          </w:p>
        </w:tc>
        <w:tc>
          <w:tcPr>
            <w:tcW w:w="3544" w:type="dxa"/>
            <w:tcBorders>
              <w:top w:val="nil"/>
              <w:left w:val="nil"/>
              <w:bottom w:val="single" w:sz="4" w:space="0" w:color="auto"/>
              <w:right w:val="single" w:sz="4" w:space="0" w:color="auto"/>
            </w:tcBorders>
            <w:vAlign w:val="bottom"/>
          </w:tcPr>
          <w:p w:rsidR="002F5906" w:rsidRPr="00C4542A" w:rsidRDefault="002F5906" w:rsidP="00EC0A59">
            <w:pPr>
              <w:rPr>
                <w:sz w:val="20"/>
                <w:szCs w:val="20"/>
              </w:rPr>
            </w:pPr>
            <w:r w:rsidRPr="00C4542A">
              <w:rPr>
                <w:sz w:val="20"/>
                <w:szCs w:val="20"/>
              </w:rPr>
              <w:t>Aktivní operace řízení likvidity – příjmy</w:t>
            </w:r>
          </w:p>
        </w:tc>
        <w:tc>
          <w:tcPr>
            <w:tcW w:w="1559" w:type="dxa"/>
            <w:tcBorders>
              <w:top w:val="nil"/>
              <w:left w:val="single" w:sz="4" w:space="0" w:color="auto"/>
              <w:bottom w:val="single" w:sz="4" w:space="0" w:color="auto"/>
              <w:right w:val="single" w:sz="4" w:space="0" w:color="auto"/>
            </w:tcBorders>
            <w:noWrap/>
            <w:vAlign w:val="bottom"/>
          </w:tcPr>
          <w:p w:rsidR="002F5906" w:rsidRPr="00C4542A" w:rsidRDefault="002F5906" w:rsidP="00EC0A59">
            <w:pPr>
              <w:jc w:val="right"/>
              <w:rPr>
                <w:sz w:val="20"/>
                <w:szCs w:val="20"/>
              </w:rPr>
            </w:pPr>
            <w:r w:rsidRPr="00C4542A">
              <w:rPr>
                <w:sz w:val="20"/>
                <w:szCs w:val="20"/>
              </w:rPr>
              <w:t>1.000,00</w:t>
            </w:r>
          </w:p>
        </w:tc>
        <w:tc>
          <w:tcPr>
            <w:tcW w:w="1559" w:type="dxa"/>
            <w:tcBorders>
              <w:top w:val="nil"/>
              <w:left w:val="single" w:sz="4" w:space="0" w:color="auto"/>
              <w:bottom w:val="single" w:sz="4" w:space="0" w:color="auto"/>
              <w:right w:val="single" w:sz="4" w:space="0" w:color="auto"/>
            </w:tcBorders>
            <w:vAlign w:val="bottom"/>
          </w:tcPr>
          <w:p w:rsidR="002F5906" w:rsidRPr="00C4542A" w:rsidRDefault="002F5906" w:rsidP="00EC0A59">
            <w:pPr>
              <w:jc w:val="right"/>
              <w:rPr>
                <w:sz w:val="20"/>
                <w:szCs w:val="20"/>
              </w:rPr>
            </w:pPr>
            <w:r w:rsidRPr="00C4542A">
              <w:rPr>
                <w:sz w:val="20"/>
                <w:szCs w:val="20"/>
              </w:rPr>
              <w:t>1.000,00</w:t>
            </w:r>
          </w:p>
        </w:tc>
        <w:tc>
          <w:tcPr>
            <w:tcW w:w="1701" w:type="dxa"/>
            <w:tcBorders>
              <w:top w:val="nil"/>
              <w:left w:val="single" w:sz="4" w:space="0" w:color="auto"/>
              <w:bottom w:val="single" w:sz="4" w:space="0" w:color="auto"/>
              <w:right w:val="single" w:sz="4" w:space="0" w:color="auto"/>
            </w:tcBorders>
            <w:vAlign w:val="bottom"/>
          </w:tcPr>
          <w:p w:rsidR="002F5906" w:rsidRPr="00C4542A" w:rsidRDefault="002F5906" w:rsidP="00EC0A59">
            <w:pPr>
              <w:jc w:val="right"/>
              <w:rPr>
                <w:sz w:val="20"/>
                <w:szCs w:val="20"/>
              </w:rPr>
            </w:pPr>
            <w:r w:rsidRPr="00C4542A">
              <w:rPr>
                <w:sz w:val="20"/>
                <w:szCs w:val="20"/>
              </w:rPr>
              <w:t>105.582,42</w:t>
            </w:r>
          </w:p>
        </w:tc>
      </w:tr>
      <w:tr w:rsidR="002F5906" w:rsidRPr="00C4542A" w:rsidTr="00FB4A69">
        <w:trPr>
          <w:trHeight w:val="240"/>
        </w:trPr>
        <w:tc>
          <w:tcPr>
            <w:tcW w:w="709" w:type="dxa"/>
            <w:tcBorders>
              <w:top w:val="single" w:sz="4" w:space="0" w:color="auto"/>
              <w:left w:val="single" w:sz="8" w:space="0" w:color="auto"/>
              <w:bottom w:val="single" w:sz="4" w:space="0" w:color="auto"/>
              <w:right w:val="single" w:sz="4" w:space="0" w:color="auto"/>
            </w:tcBorders>
            <w:noWrap/>
            <w:vAlign w:val="bottom"/>
          </w:tcPr>
          <w:p w:rsidR="002F5906" w:rsidRPr="00C4542A" w:rsidRDefault="002F5906" w:rsidP="00EC0A59">
            <w:pPr>
              <w:rPr>
                <w:sz w:val="20"/>
                <w:szCs w:val="20"/>
              </w:rPr>
            </w:pPr>
            <w:r w:rsidRPr="00C4542A">
              <w:rPr>
                <w:sz w:val="20"/>
                <w:szCs w:val="20"/>
              </w:rPr>
              <w:t>8XX8</w:t>
            </w:r>
          </w:p>
        </w:tc>
        <w:tc>
          <w:tcPr>
            <w:tcW w:w="3544" w:type="dxa"/>
            <w:tcBorders>
              <w:top w:val="single" w:sz="4" w:space="0" w:color="auto"/>
              <w:left w:val="nil"/>
              <w:bottom w:val="single" w:sz="4" w:space="0" w:color="auto"/>
              <w:right w:val="single" w:sz="4" w:space="0" w:color="auto"/>
            </w:tcBorders>
            <w:shd w:val="clear" w:color="auto" w:fill="FFFFFF"/>
            <w:vAlign w:val="bottom"/>
          </w:tcPr>
          <w:p w:rsidR="002F5906" w:rsidRPr="00C4542A" w:rsidRDefault="002F5906" w:rsidP="00EC0A59">
            <w:pPr>
              <w:rPr>
                <w:sz w:val="20"/>
                <w:szCs w:val="20"/>
              </w:rPr>
            </w:pPr>
            <w:r w:rsidRPr="00C4542A">
              <w:rPr>
                <w:sz w:val="20"/>
                <w:szCs w:val="20"/>
              </w:rPr>
              <w:t xml:space="preserve">Aktivní operace řízení likvidity – výdaje </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F5906" w:rsidRPr="00C4542A" w:rsidRDefault="002F5906" w:rsidP="00EC0A59">
            <w:pPr>
              <w:jc w:val="right"/>
              <w:rPr>
                <w:sz w:val="20"/>
                <w:szCs w:val="20"/>
              </w:rPr>
            </w:pPr>
            <w:r w:rsidRPr="00C4542A">
              <w:rPr>
                <w:sz w:val="20"/>
                <w:szCs w:val="20"/>
              </w:rPr>
              <w:t>0,00</w:t>
            </w:r>
          </w:p>
        </w:tc>
        <w:tc>
          <w:tcPr>
            <w:tcW w:w="1559" w:type="dxa"/>
            <w:tcBorders>
              <w:top w:val="single" w:sz="4" w:space="0" w:color="auto"/>
              <w:left w:val="single" w:sz="4" w:space="0" w:color="auto"/>
              <w:bottom w:val="single" w:sz="4" w:space="0" w:color="auto"/>
              <w:right w:val="single" w:sz="4" w:space="0" w:color="auto"/>
            </w:tcBorders>
            <w:vAlign w:val="bottom"/>
          </w:tcPr>
          <w:p w:rsidR="002F5906" w:rsidRPr="00C4542A" w:rsidRDefault="002F5906" w:rsidP="00EC0A59">
            <w:pPr>
              <w:jc w:val="right"/>
              <w:rPr>
                <w:sz w:val="20"/>
                <w:szCs w:val="20"/>
              </w:rPr>
            </w:pPr>
            <w:r w:rsidRPr="00C4542A">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bottom"/>
          </w:tcPr>
          <w:p w:rsidR="002F5906" w:rsidRPr="00C4542A" w:rsidRDefault="002F5906" w:rsidP="00EC0A59">
            <w:pPr>
              <w:jc w:val="right"/>
              <w:rPr>
                <w:sz w:val="20"/>
                <w:szCs w:val="20"/>
              </w:rPr>
            </w:pPr>
            <w:r w:rsidRPr="00C4542A">
              <w:rPr>
                <w:sz w:val="20"/>
                <w:szCs w:val="20"/>
              </w:rPr>
              <w:t>-104.582,42</w:t>
            </w:r>
          </w:p>
        </w:tc>
      </w:tr>
      <w:tr w:rsidR="002F5906" w:rsidRPr="00C4542A" w:rsidTr="00FB4A69">
        <w:trPr>
          <w:trHeight w:val="242"/>
        </w:trPr>
        <w:tc>
          <w:tcPr>
            <w:tcW w:w="709" w:type="dxa"/>
            <w:tcBorders>
              <w:top w:val="single" w:sz="4" w:space="0" w:color="auto"/>
              <w:left w:val="single" w:sz="8" w:space="0" w:color="auto"/>
              <w:bottom w:val="single" w:sz="4" w:space="0" w:color="auto"/>
              <w:right w:val="single" w:sz="4" w:space="0" w:color="auto"/>
            </w:tcBorders>
            <w:noWrap/>
            <w:vAlign w:val="bottom"/>
          </w:tcPr>
          <w:p w:rsidR="002F5906" w:rsidRPr="00C4542A" w:rsidRDefault="002F5906" w:rsidP="00EC0A59">
            <w:pPr>
              <w:rPr>
                <w:sz w:val="20"/>
                <w:szCs w:val="20"/>
              </w:rPr>
            </w:pPr>
            <w:r w:rsidRPr="00C4542A">
              <w:rPr>
                <w:sz w:val="20"/>
                <w:szCs w:val="20"/>
              </w:rPr>
              <w:t>89XX</w:t>
            </w:r>
          </w:p>
        </w:tc>
        <w:tc>
          <w:tcPr>
            <w:tcW w:w="3544" w:type="dxa"/>
            <w:tcBorders>
              <w:top w:val="single" w:sz="4" w:space="0" w:color="auto"/>
              <w:left w:val="nil"/>
              <w:bottom w:val="single" w:sz="4" w:space="0" w:color="auto"/>
              <w:right w:val="single" w:sz="4" w:space="0" w:color="auto"/>
            </w:tcBorders>
            <w:shd w:val="clear" w:color="auto" w:fill="FFFFFF"/>
            <w:vAlign w:val="bottom"/>
          </w:tcPr>
          <w:p w:rsidR="002F5906" w:rsidRPr="00C4542A" w:rsidRDefault="002F5906" w:rsidP="00EC0A59">
            <w:pPr>
              <w:rPr>
                <w:sz w:val="20"/>
                <w:szCs w:val="20"/>
              </w:rPr>
            </w:pPr>
            <w:r w:rsidRPr="00C4542A">
              <w:rPr>
                <w:sz w:val="20"/>
                <w:szCs w:val="20"/>
              </w:rPr>
              <w:t xml:space="preserve">Opravné položky k peněžním operacím </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2F5906" w:rsidRPr="00C4542A" w:rsidRDefault="002F5906" w:rsidP="00EC0A59">
            <w:pPr>
              <w:jc w:val="right"/>
              <w:rPr>
                <w:sz w:val="20"/>
                <w:szCs w:val="20"/>
              </w:rPr>
            </w:pPr>
            <w:r w:rsidRPr="00C4542A">
              <w:rPr>
                <w:sz w:val="20"/>
                <w:szCs w:val="20"/>
              </w:rPr>
              <w:t>0,00</w:t>
            </w:r>
          </w:p>
        </w:tc>
        <w:tc>
          <w:tcPr>
            <w:tcW w:w="1559" w:type="dxa"/>
            <w:tcBorders>
              <w:top w:val="single" w:sz="4" w:space="0" w:color="auto"/>
              <w:left w:val="single" w:sz="4" w:space="0" w:color="auto"/>
              <w:bottom w:val="single" w:sz="4" w:space="0" w:color="auto"/>
              <w:right w:val="single" w:sz="4" w:space="0" w:color="auto"/>
            </w:tcBorders>
            <w:vAlign w:val="bottom"/>
          </w:tcPr>
          <w:p w:rsidR="002F5906" w:rsidRPr="00C4542A" w:rsidRDefault="002F5906" w:rsidP="00EC0A59">
            <w:pPr>
              <w:jc w:val="right"/>
              <w:rPr>
                <w:sz w:val="20"/>
                <w:szCs w:val="20"/>
              </w:rPr>
            </w:pPr>
            <w:r w:rsidRPr="00C4542A">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bottom"/>
          </w:tcPr>
          <w:p w:rsidR="002F5906" w:rsidRPr="00C4542A" w:rsidRDefault="002F5906" w:rsidP="00EC0A59">
            <w:pPr>
              <w:jc w:val="right"/>
              <w:rPr>
                <w:sz w:val="20"/>
                <w:szCs w:val="20"/>
              </w:rPr>
            </w:pPr>
            <w:r w:rsidRPr="00C4542A">
              <w:rPr>
                <w:sz w:val="20"/>
                <w:szCs w:val="20"/>
              </w:rPr>
              <w:t>67,87</w:t>
            </w:r>
          </w:p>
        </w:tc>
      </w:tr>
      <w:tr w:rsidR="002F5906" w:rsidRPr="00C4542A" w:rsidTr="00FB4A69">
        <w:trPr>
          <w:trHeight w:val="513"/>
        </w:trPr>
        <w:tc>
          <w:tcPr>
            <w:tcW w:w="709" w:type="dxa"/>
            <w:tcBorders>
              <w:left w:val="single" w:sz="8" w:space="0" w:color="auto"/>
              <w:bottom w:val="single" w:sz="4" w:space="0" w:color="auto"/>
              <w:right w:val="single" w:sz="4" w:space="0" w:color="auto"/>
            </w:tcBorders>
            <w:shd w:val="clear" w:color="auto" w:fill="EEECE1"/>
            <w:noWrap/>
            <w:vAlign w:val="center"/>
          </w:tcPr>
          <w:p w:rsidR="002F5906" w:rsidRPr="00C4542A" w:rsidRDefault="002F5906" w:rsidP="00EC0A59">
            <w:pPr>
              <w:rPr>
                <w:b/>
                <w:sz w:val="20"/>
                <w:szCs w:val="20"/>
              </w:rPr>
            </w:pPr>
          </w:p>
        </w:tc>
        <w:tc>
          <w:tcPr>
            <w:tcW w:w="3544" w:type="dxa"/>
            <w:tcBorders>
              <w:left w:val="nil"/>
              <w:bottom w:val="single" w:sz="4" w:space="0" w:color="auto"/>
              <w:right w:val="single" w:sz="4" w:space="0" w:color="auto"/>
            </w:tcBorders>
            <w:shd w:val="clear" w:color="auto" w:fill="EEECE1"/>
            <w:vAlign w:val="center"/>
          </w:tcPr>
          <w:p w:rsidR="002F5906" w:rsidRPr="00C4542A" w:rsidRDefault="002F5906" w:rsidP="00EC0A59">
            <w:pPr>
              <w:rPr>
                <w:b/>
                <w:sz w:val="20"/>
                <w:szCs w:val="20"/>
              </w:rPr>
            </w:pPr>
            <w:r>
              <w:rPr>
                <w:b/>
                <w:sz w:val="20"/>
                <w:szCs w:val="20"/>
              </w:rPr>
              <w:t>Celkem f</w:t>
            </w:r>
            <w:r w:rsidRPr="00C4542A">
              <w:rPr>
                <w:b/>
                <w:sz w:val="20"/>
                <w:szCs w:val="20"/>
              </w:rPr>
              <w:t>inancování</w:t>
            </w:r>
          </w:p>
        </w:tc>
        <w:tc>
          <w:tcPr>
            <w:tcW w:w="1559" w:type="dxa"/>
            <w:tcBorders>
              <w:left w:val="single" w:sz="4" w:space="0" w:color="auto"/>
              <w:bottom w:val="single" w:sz="4" w:space="0" w:color="auto"/>
              <w:right w:val="single" w:sz="4" w:space="0" w:color="auto"/>
            </w:tcBorders>
            <w:shd w:val="clear" w:color="auto" w:fill="EEECE1"/>
            <w:noWrap/>
            <w:vAlign w:val="center"/>
          </w:tcPr>
          <w:p w:rsidR="002F5906" w:rsidRPr="00C4542A" w:rsidRDefault="002F5906" w:rsidP="00EC0A59">
            <w:pPr>
              <w:jc w:val="right"/>
              <w:rPr>
                <w:b/>
                <w:sz w:val="20"/>
                <w:szCs w:val="20"/>
              </w:rPr>
            </w:pPr>
            <w:r w:rsidRPr="00C4542A">
              <w:rPr>
                <w:b/>
                <w:sz w:val="20"/>
                <w:szCs w:val="20"/>
              </w:rPr>
              <w:t>130.907,50</w:t>
            </w:r>
          </w:p>
        </w:tc>
        <w:tc>
          <w:tcPr>
            <w:tcW w:w="1559" w:type="dxa"/>
            <w:tcBorders>
              <w:left w:val="single" w:sz="4" w:space="0" w:color="auto"/>
              <w:bottom w:val="single" w:sz="4" w:space="0" w:color="auto"/>
              <w:right w:val="single" w:sz="4" w:space="0" w:color="auto"/>
            </w:tcBorders>
            <w:shd w:val="clear" w:color="auto" w:fill="EEECE1"/>
            <w:vAlign w:val="center"/>
          </w:tcPr>
          <w:p w:rsidR="002F5906" w:rsidRPr="00C4542A" w:rsidRDefault="002F5906" w:rsidP="00EC0A59">
            <w:pPr>
              <w:jc w:val="right"/>
              <w:rPr>
                <w:b/>
                <w:sz w:val="20"/>
                <w:szCs w:val="20"/>
              </w:rPr>
            </w:pPr>
            <w:r w:rsidRPr="00C4542A">
              <w:rPr>
                <w:b/>
                <w:sz w:val="20"/>
                <w:szCs w:val="20"/>
              </w:rPr>
              <w:t>-20.602,90</w:t>
            </w:r>
          </w:p>
        </w:tc>
        <w:tc>
          <w:tcPr>
            <w:tcW w:w="1701" w:type="dxa"/>
            <w:tcBorders>
              <w:left w:val="single" w:sz="4" w:space="0" w:color="auto"/>
              <w:bottom w:val="single" w:sz="4" w:space="0" w:color="auto"/>
              <w:right w:val="single" w:sz="4" w:space="0" w:color="auto"/>
            </w:tcBorders>
            <w:shd w:val="clear" w:color="auto" w:fill="EEECE1"/>
            <w:vAlign w:val="center"/>
          </w:tcPr>
          <w:p w:rsidR="002F5906" w:rsidRPr="00C4542A" w:rsidRDefault="002F5906" w:rsidP="00EC0A59">
            <w:pPr>
              <w:jc w:val="right"/>
              <w:rPr>
                <w:b/>
                <w:sz w:val="20"/>
                <w:szCs w:val="20"/>
              </w:rPr>
            </w:pPr>
            <w:r w:rsidRPr="00C4542A">
              <w:rPr>
                <w:b/>
                <w:sz w:val="20"/>
                <w:szCs w:val="20"/>
              </w:rPr>
              <w:t>-110.266,01</w:t>
            </w:r>
          </w:p>
        </w:tc>
      </w:tr>
    </w:tbl>
    <w:p w:rsidR="00F0180B" w:rsidRDefault="00F0180B" w:rsidP="00F0180B">
      <w:pPr>
        <w:jc w:val="both"/>
        <w:rPr>
          <w:sz w:val="22"/>
          <w:szCs w:val="22"/>
        </w:rPr>
      </w:pPr>
    </w:p>
    <w:p w:rsidR="00F0180B" w:rsidRDefault="00F0180B" w:rsidP="00F0180B">
      <w:pPr>
        <w:jc w:val="both"/>
        <w:rPr>
          <w:i/>
          <w:sz w:val="22"/>
          <w:szCs w:val="22"/>
          <w:u w:val="single"/>
        </w:rPr>
      </w:pPr>
      <w:r w:rsidRPr="00BC34DA">
        <w:rPr>
          <w:i/>
          <w:sz w:val="22"/>
          <w:szCs w:val="22"/>
          <w:u w:val="single"/>
        </w:rPr>
        <w:t xml:space="preserve">Schválený rozpočet ve výši 130.907,5 </w:t>
      </w:r>
      <w:r>
        <w:rPr>
          <w:i/>
          <w:sz w:val="22"/>
          <w:szCs w:val="22"/>
          <w:u w:val="single"/>
        </w:rPr>
        <w:t>tis. Kč</w:t>
      </w:r>
      <w:r w:rsidRPr="00BC34DA">
        <w:rPr>
          <w:i/>
          <w:sz w:val="22"/>
          <w:szCs w:val="22"/>
          <w:u w:val="single"/>
        </w:rPr>
        <w:t>:</w:t>
      </w:r>
    </w:p>
    <w:p w:rsidR="00F0180B" w:rsidRDefault="00F0180B" w:rsidP="00F0180B">
      <w:pPr>
        <w:jc w:val="both"/>
        <w:rPr>
          <w:bCs/>
          <w:sz w:val="22"/>
          <w:szCs w:val="22"/>
        </w:rPr>
      </w:pPr>
      <w:r w:rsidRPr="00CE5E68">
        <w:rPr>
          <w:bCs/>
          <w:sz w:val="22"/>
          <w:szCs w:val="22"/>
        </w:rPr>
        <w:lastRenderedPageBreak/>
        <w:t>Ve třídě 8 – financování se ve schváleném rozpočtu promítá přijetí čtvrté splátky návratné finanční výpomoci od MČ Praha Lipence ve výši 1.000 </w:t>
      </w:r>
      <w:r>
        <w:rPr>
          <w:bCs/>
          <w:sz w:val="22"/>
          <w:szCs w:val="22"/>
        </w:rPr>
        <w:t>tis. Kč</w:t>
      </w:r>
      <w:r w:rsidRPr="00CE5E68">
        <w:rPr>
          <w:bCs/>
          <w:sz w:val="22"/>
          <w:szCs w:val="22"/>
        </w:rPr>
        <w:t>, poskytnuté v roce 2009 v celkové výši 6.000 </w:t>
      </w:r>
      <w:r>
        <w:rPr>
          <w:bCs/>
          <w:sz w:val="22"/>
          <w:szCs w:val="22"/>
        </w:rPr>
        <w:t>tis. Kč</w:t>
      </w:r>
      <w:r w:rsidRPr="00CE5E68">
        <w:rPr>
          <w:bCs/>
          <w:sz w:val="22"/>
          <w:szCs w:val="22"/>
        </w:rPr>
        <w:t xml:space="preserve"> na stavbu tělocvičny ZŠ Li</w:t>
      </w:r>
      <w:r>
        <w:rPr>
          <w:bCs/>
          <w:sz w:val="22"/>
          <w:szCs w:val="22"/>
        </w:rPr>
        <w:t xml:space="preserve">pence, schváleno usnesením ZMČ </w:t>
      </w:r>
      <w:r w:rsidRPr="00CE5E68">
        <w:rPr>
          <w:bCs/>
          <w:sz w:val="22"/>
          <w:szCs w:val="22"/>
        </w:rPr>
        <w:t>čísl</w:t>
      </w:r>
      <w:r>
        <w:rPr>
          <w:bCs/>
          <w:sz w:val="22"/>
          <w:szCs w:val="22"/>
        </w:rPr>
        <w:t>o</w:t>
      </w:r>
      <w:r w:rsidRPr="00CE5E68">
        <w:rPr>
          <w:bCs/>
          <w:sz w:val="22"/>
          <w:szCs w:val="22"/>
        </w:rPr>
        <w:t xml:space="preserve"> 17/14/2009 dne 11.</w:t>
      </w:r>
      <w:r w:rsidR="008664C7">
        <w:rPr>
          <w:bCs/>
          <w:sz w:val="22"/>
          <w:szCs w:val="22"/>
        </w:rPr>
        <w:t> </w:t>
      </w:r>
      <w:r w:rsidRPr="00CE5E68">
        <w:rPr>
          <w:bCs/>
          <w:sz w:val="22"/>
          <w:szCs w:val="22"/>
        </w:rPr>
        <w:t>6.</w:t>
      </w:r>
      <w:r w:rsidR="008664C7">
        <w:rPr>
          <w:bCs/>
          <w:sz w:val="22"/>
          <w:szCs w:val="22"/>
        </w:rPr>
        <w:t> </w:t>
      </w:r>
      <w:r w:rsidRPr="00CE5E68">
        <w:rPr>
          <w:bCs/>
          <w:sz w:val="22"/>
          <w:szCs w:val="22"/>
        </w:rPr>
        <w:t xml:space="preserve">2009. </w:t>
      </w:r>
    </w:p>
    <w:p w:rsidR="00F0180B" w:rsidRPr="00CE5E68" w:rsidRDefault="00F0180B" w:rsidP="00F0180B">
      <w:pPr>
        <w:jc w:val="both"/>
        <w:rPr>
          <w:i/>
          <w:sz w:val="22"/>
          <w:szCs w:val="22"/>
          <w:u w:val="single"/>
        </w:rPr>
      </w:pPr>
      <w:r>
        <w:rPr>
          <w:bCs/>
          <w:sz w:val="22"/>
          <w:szCs w:val="22"/>
        </w:rPr>
        <w:t>Z fondu rezerv a rozvoje byly použity finanční prostředky v celkové výši 70.000 tis. Kč na dočasné financování plánovaných projektů v roce 2013.</w:t>
      </w:r>
      <w:r w:rsidRPr="00CE5E68">
        <w:rPr>
          <w:bCs/>
          <w:sz w:val="22"/>
          <w:szCs w:val="22"/>
        </w:rPr>
        <w:t xml:space="preserve"> Prostředky ze sociálního fondu ve výši 2.075,4 </w:t>
      </w:r>
      <w:r>
        <w:rPr>
          <w:bCs/>
          <w:sz w:val="22"/>
          <w:szCs w:val="22"/>
        </w:rPr>
        <w:t>tis. Kč</w:t>
      </w:r>
      <w:r w:rsidRPr="00CE5E68">
        <w:rPr>
          <w:bCs/>
          <w:sz w:val="22"/>
          <w:szCs w:val="22"/>
        </w:rPr>
        <w:t xml:space="preserve"> </w:t>
      </w:r>
      <w:r>
        <w:rPr>
          <w:bCs/>
          <w:sz w:val="22"/>
          <w:szCs w:val="22"/>
        </w:rPr>
        <w:t>byly</w:t>
      </w:r>
      <w:r w:rsidRPr="00CE5E68">
        <w:rPr>
          <w:bCs/>
          <w:sz w:val="22"/>
          <w:szCs w:val="22"/>
        </w:rPr>
        <w:t xml:space="preserve"> plánovány</w:t>
      </w:r>
      <w:r>
        <w:rPr>
          <w:bCs/>
          <w:sz w:val="22"/>
          <w:szCs w:val="22"/>
        </w:rPr>
        <w:t xml:space="preserve"> </w:t>
      </w:r>
      <w:r w:rsidRPr="00CE5E68">
        <w:rPr>
          <w:bCs/>
          <w:sz w:val="22"/>
          <w:szCs w:val="22"/>
        </w:rPr>
        <w:t>na dokrytí výdajů v roce 20</w:t>
      </w:r>
      <w:r>
        <w:rPr>
          <w:bCs/>
          <w:sz w:val="22"/>
          <w:szCs w:val="22"/>
        </w:rPr>
        <w:t>13 a částka ve výši 37.919,2 tis. Kč</w:t>
      </w:r>
      <w:r w:rsidRPr="00CE5E68">
        <w:rPr>
          <w:bCs/>
          <w:sz w:val="22"/>
          <w:szCs w:val="22"/>
        </w:rPr>
        <w:t xml:space="preserve">, která je soustředěna na </w:t>
      </w:r>
      <w:r w:rsidR="009D6D1E">
        <w:rPr>
          <w:bCs/>
          <w:sz w:val="22"/>
          <w:szCs w:val="22"/>
        </w:rPr>
        <w:t>základní běžném účtu</w:t>
      </w:r>
      <w:r w:rsidRPr="00CE5E68">
        <w:rPr>
          <w:bCs/>
          <w:sz w:val="22"/>
          <w:szCs w:val="22"/>
        </w:rPr>
        <w:t xml:space="preserve"> (finanční prostředky z minulých let), a částka ve výši 19.912,9 </w:t>
      </w:r>
      <w:r>
        <w:rPr>
          <w:bCs/>
          <w:sz w:val="22"/>
          <w:szCs w:val="22"/>
        </w:rPr>
        <w:t>tis. Kč</w:t>
      </w:r>
      <w:r w:rsidRPr="00CE5E68">
        <w:rPr>
          <w:bCs/>
          <w:sz w:val="22"/>
          <w:szCs w:val="22"/>
        </w:rPr>
        <w:t xml:space="preserve"> určena na Projekt E-Government O</w:t>
      </w:r>
      <w:r w:rsidR="009D6D1E">
        <w:rPr>
          <w:bCs/>
          <w:sz w:val="22"/>
          <w:szCs w:val="22"/>
        </w:rPr>
        <w:t>peračního programu</w:t>
      </w:r>
      <w:r w:rsidRPr="00CE5E68">
        <w:rPr>
          <w:bCs/>
          <w:sz w:val="22"/>
          <w:szCs w:val="22"/>
        </w:rPr>
        <w:t xml:space="preserve"> Praha Konkurenceschopnost (nevyčerpané finanční pro</w:t>
      </w:r>
      <w:r w:rsidR="009D6D1E">
        <w:rPr>
          <w:bCs/>
          <w:sz w:val="22"/>
          <w:szCs w:val="22"/>
        </w:rPr>
        <w:t>středky z roku 2012).</w:t>
      </w:r>
    </w:p>
    <w:p w:rsidR="00F0180B" w:rsidRDefault="00F0180B" w:rsidP="00F0180B">
      <w:pPr>
        <w:jc w:val="both"/>
        <w:rPr>
          <w:i/>
          <w:sz w:val="22"/>
          <w:szCs w:val="22"/>
          <w:u w:val="single"/>
        </w:rPr>
      </w:pPr>
    </w:p>
    <w:p w:rsidR="00F0180B" w:rsidRDefault="00F0180B" w:rsidP="00F0180B">
      <w:pPr>
        <w:jc w:val="both"/>
        <w:rPr>
          <w:i/>
          <w:sz w:val="22"/>
          <w:szCs w:val="22"/>
          <w:u w:val="single"/>
        </w:rPr>
      </w:pPr>
      <w:r w:rsidRPr="00A05B8F">
        <w:rPr>
          <w:i/>
          <w:sz w:val="22"/>
          <w:szCs w:val="22"/>
          <w:u w:val="single"/>
        </w:rPr>
        <w:t xml:space="preserve">Upravený rozpočet k 31.12.2013 ve výši -20.602,9 </w:t>
      </w:r>
      <w:r>
        <w:rPr>
          <w:i/>
          <w:sz w:val="22"/>
          <w:szCs w:val="22"/>
          <w:u w:val="single"/>
        </w:rPr>
        <w:t>tis. Kč</w:t>
      </w:r>
      <w:r w:rsidRPr="00A05B8F">
        <w:rPr>
          <w:i/>
          <w:sz w:val="22"/>
          <w:szCs w:val="22"/>
          <w:u w:val="single"/>
        </w:rPr>
        <w:t>:</w:t>
      </w:r>
    </w:p>
    <w:p w:rsidR="00A379BC" w:rsidRDefault="00F0180B" w:rsidP="00F0180B">
      <w:pPr>
        <w:jc w:val="both"/>
        <w:rPr>
          <w:sz w:val="22"/>
          <w:szCs w:val="22"/>
        </w:rPr>
      </w:pPr>
      <w:r>
        <w:rPr>
          <w:sz w:val="22"/>
          <w:szCs w:val="22"/>
        </w:rPr>
        <w:t>Ve třídě 8 – financování se v upraveném rozpočtu promítá zapojení dalších finančních prostředků z fondu rezerv a rozvoje na pokrytí výdajů souvisejících s plánovanými projekty snížení energetické náročnosti budov, v souvislosti s podáváním žádostí o přidělení dotace ze Státního fondu životního prostředí a z fondu EU, rozpočtu hl.</w:t>
      </w:r>
      <w:r w:rsidR="0073348E">
        <w:rPr>
          <w:sz w:val="22"/>
          <w:szCs w:val="22"/>
        </w:rPr>
        <w:t xml:space="preserve"> </w:t>
      </w:r>
      <w:r>
        <w:rPr>
          <w:sz w:val="22"/>
          <w:szCs w:val="22"/>
        </w:rPr>
        <w:t>m. Pra</w:t>
      </w:r>
      <w:r w:rsidR="00A379BC">
        <w:rPr>
          <w:sz w:val="22"/>
          <w:szCs w:val="22"/>
        </w:rPr>
        <w:t>hy.</w:t>
      </w:r>
    </w:p>
    <w:p w:rsidR="00F0180B" w:rsidRDefault="009D6D1E" w:rsidP="00F0180B">
      <w:pPr>
        <w:jc w:val="both"/>
        <w:rPr>
          <w:sz w:val="22"/>
          <w:szCs w:val="22"/>
        </w:rPr>
      </w:pPr>
      <w:r>
        <w:rPr>
          <w:sz w:val="22"/>
          <w:szCs w:val="22"/>
        </w:rPr>
        <w:t>D</w:t>
      </w:r>
      <w:r w:rsidR="00F0180B">
        <w:rPr>
          <w:sz w:val="22"/>
          <w:szCs w:val="22"/>
        </w:rPr>
        <w:t>ále výdaje na dočasné předfinancování projektů, do doby přidělení transferů – projekt zateplení MŠ U železničního mostu, výdaje na povodně – odstranění vzniklých škod na území městské části, zap</w:t>
      </w:r>
      <w:r w:rsidR="00F0180B">
        <w:rPr>
          <w:sz w:val="22"/>
          <w:szCs w:val="22"/>
        </w:rPr>
        <w:t>o</w:t>
      </w:r>
      <w:r w:rsidR="00F0180B">
        <w:rPr>
          <w:sz w:val="22"/>
          <w:szCs w:val="22"/>
        </w:rPr>
        <w:t xml:space="preserve">jení finančních prostředků nedočerpaných z roku 2012 – z odvodu části výtěžku </w:t>
      </w:r>
      <w:r w:rsidR="00737130">
        <w:rPr>
          <w:sz w:val="22"/>
          <w:szCs w:val="22"/>
        </w:rPr>
        <w:t>z výherních hracích přístrojů a videoloterijních terminálů</w:t>
      </w:r>
      <w:r w:rsidR="00F0180B">
        <w:rPr>
          <w:sz w:val="22"/>
          <w:szCs w:val="22"/>
        </w:rPr>
        <w:t>, revitalizace objektu Pod Žvahovem – Taneční centrum (nebylo real</w:t>
      </w:r>
      <w:r w:rsidR="00A379BC">
        <w:rPr>
          <w:sz w:val="22"/>
          <w:szCs w:val="22"/>
        </w:rPr>
        <w:t>izováno).</w:t>
      </w:r>
    </w:p>
    <w:p w:rsidR="00F0180B" w:rsidRDefault="00F0180B" w:rsidP="00F0180B">
      <w:pPr>
        <w:jc w:val="both"/>
        <w:rPr>
          <w:sz w:val="22"/>
          <w:szCs w:val="22"/>
        </w:rPr>
      </w:pPr>
    </w:p>
    <w:p w:rsidR="00F0180B" w:rsidRPr="00D63F60" w:rsidRDefault="00F0180B" w:rsidP="00F0180B">
      <w:pPr>
        <w:jc w:val="both"/>
        <w:rPr>
          <w:i/>
          <w:sz w:val="22"/>
          <w:szCs w:val="22"/>
          <w:u w:val="single"/>
        </w:rPr>
      </w:pPr>
      <w:r w:rsidRPr="00D63F60">
        <w:rPr>
          <w:i/>
          <w:sz w:val="22"/>
          <w:szCs w:val="22"/>
          <w:u w:val="single"/>
        </w:rPr>
        <w:t>Skutečnost k 31.12.2013</w:t>
      </w:r>
      <w:r>
        <w:rPr>
          <w:i/>
          <w:sz w:val="22"/>
          <w:szCs w:val="22"/>
          <w:u w:val="single"/>
        </w:rPr>
        <w:t xml:space="preserve"> </w:t>
      </w:r>
      <w:r w:rsidRPr="00D63F60">
        <w:rPr>
          <w:i/>
          <w:sz w:val="22"/>
          <w:szCs w:val="22"/>
          <w:u w:val="single"/>
        </w:rPr>
        <w:t>ve výši</w:t>
      </w:r>
      <w:r>
        <w:rPr>
          <w:i/>
          <w:sz w:val="22"/>
          <w:szCs w:val="22"/>
          <w:u w:val="single"/>
        </w:rPr>
        <w:t xml:space="preserve"> </w:t>
      </w:r>
      <w:r w:rsidRPr="00D63F60">
        <w:rPr>
          <w:i/>
          <w:sz w:val="22"/>
          <w:szCs w:val="22"/>
          <w:u w:val="single"/>
        </w:rPr>
        <w:t>-110.266.010,64</w:t>
      </w:r>
      <w:r>
        <w:rPr>
          <w:i/>
          <w:sz w:val="22"/>
          <w:szCs w:val="22"/>
          <w:u w:val="single"/>
        </w:rPr>
        <w:t> Kč</w:t>
      </w:r>
      <w:r w:rsidRPr="00D63F60">
        <w:rPr>
          <w:i/>
          <w:sz w:val="22"/>
          <w:szCs w:val="22"/>
          <w:u w:val="single"/>
        </w:rPr>
        <w:t>:</w:t>
      </w:r>
    </w:p>
    <w:p w:rsidR="00F0180B" w:rsidRPr="00D63F60" w:rsidRDefault="00F0180B" w:rsidP="00F0180B">
      <w:pPr>
        <w:jc w:val="both"/>
        <w:rPr>
          <w:sz w:val="22"/>
          <w:szCs w:val="22"/>
        </w:rPr>
      </w:pPr>
      <w:r w:rsidRPr="00A05B8F">
        <w:rPr>
          <w:sz w:val="22"/>
          <w:szCs w:val="22"/>
        </w:rPr>
        <w:t xml:space="preserve">V příjmové části </w:t>
      </w:r>
      <w:r w:rsidR="00A379BC">
        <w:rPr>
          <w:sz w:val="22"/>
          <w:szCs w:val="22"/>
        </w:rPr>
        <w:t xml:space="preserve">třídy 8 je </w:t>
      </w:r>
      <w:r w:rsidRPr="00A05B8F">
        <w:rPr>
          <w:sz w:val="22"/>
          <w:szCs w:val="22"/>
        </w:rPr>
        <w:t>klasifikována změna stavu na bankovních účtech v celkové výši</w:t>
      </w:r>
      <w:r>
        <w:rPr>
          <w:sz w:val="22"/>
          <w:szCs w:val="22"/>
        </w:rPr>
        <w:t xml:space="preserve"> </w:t>
      </w:r>
      <w:r w:rsidRPr="00A05B8F">
        <w:rPr>
          <w:sz w:val="22"/>
          <w:szCs w:val="22"/>
        </w:rPr>
        <w:t xml:space="preserve">– </w:t>
      </w:r>
      <w:r w:rsidR="00552BB2">
        <w:rPr>
          <w:sz w:val="22"/>
          <w:szCs w:val="22"/>
        </w:rPr>
        <w:t>111 333,8</w:t>
      </w:r>
      <w:r w:rsidRPr="00A05B8F">
        <w:rPr>
          <w:sz w:val="22"/>
          <w:szCs w:val="22"/>
        </w:rPr>
        <w:t xml:space="preserve"> </w:t>
      </w:r>
      <w:r>
        <w:rPr>
          <w:sz w:val="22"/>
          <w:szCs w:val="22"/>
        </w:rPr>
        <w:t>tis. Kč</w:t>
      </w:r>
      <w:r w:rsidRPr="00A05B8F">
        <w:rPr>
          <w:sz w:val="22"/>
          <w:szCs w:val="22"/>
        </w:rPr>
        <w:t xml:space="preserve">. Na položce 8127 Aktivní operace řízení likvidity představují </w:t>
      </w:r>
      <w:r w:rsidR="00552BB2">
        <w:rPr>
          <w:sz w:val="22"/>
          <w:szCs w:val="22"/>
        </w:rPr>
        <w:t>celkem 105.582,4</w:t>
      </w:r>
      <w:r w:rsidRPr="00A05B8F">
        <w:rPr>
          <w:sz w:val="22"/>
          <w:szCs w:val="22"/>
        </w:rPr>
        <w:t xml:space="preserve"> </w:t>
      </w:r>
      <w:r>
        <w:rPr>
          <w:sz w:val="22"/>
          <w:szCs w:val="22"/>
        </w:rPr>
        <w:t>tis. Kč</w:t>
      </w:r>
      <w:r w:rsidRPr="00A05B8F">
        <w:rPr>
          <w:sz w:val="22"/>
          <w:szCs w:val="22"/>
        </w:rPr>
        <w:t>,</w:t>
      </w:r>
      <w:r>
        <w:rPr>
          <w:sz w:val="22"/>
          <w:szCs w:val="22"/>
        </w:rPr>
        <w:t xml:space="preserve"> </w:t>
      </w:r>
      <w:r w:rsidRPr="00A05B8F">
        <w:rPr>
          <w:sz w:val="22"/>
          <w:szCs w:val="22"/>
        </w:rPr>
        <w:t xml:space="preserve">z toho: částku 1.368,7 </w:t>
      </w:r>
      <w:r>
        <w:rPr>
          <w:sz w:val="22"/>
          <w:szCs w:val="22"/>
        </w:rPr>
        <w:t>tis. Kč</w:t>
      </w:r>
      <w:r w:rsidRPr="00A05B8F">
        <w:rPr>
          <w:sz w:val="22"/>
          <w:szCs w:val="22"/>
        </w:rPr>
        <w:t xml:space="preserve"> tvoří úroky z termínovaného vkladu za období 15.12.2012 - 16.9.2013 za zhodnocení finančních prostředků u Raiffeisenbank, a.s.,</w:t>
      </w:r>
      <w:r w:rsidR="00885E50">
        <w:rPr>
          <w:sz w:val="22"/>
          <w:szCs w:val="22"/>
        </w:rPr>
        <w:t xml:space="preserve"> zhodnocována byla částka</w:t>
      </w:r>
      <w:r>
        <w:rPr>
          <w:sz w:val="22"/>
          <w:szCs w:val="22"/>
        </w:rPr>
        <w:t xml:space="preserve"> 100.000 tis. Kč</w:t>
      </w:r>
      <w:r w:rsidR="00885E50">
        <w:rPr>
          <w:sz w:val="22"/>
          <w:szCs w:val="22"/>
        </w:rPr>
        <w:t xml:space="preserve">. </w:t>
      </w:r>
      <w:r>
        <w:rPr>
          <w:sz w:val="22"/>
          <w:szCs w:val="22"/>
        </w:rPr>
        <w:t>Na položce se dále promítá převod ve výši 3.213,7 tis. Kč z účtu Raiffeisenbank, a.</w:t>
      </w:r>
      <w:r w:rsidR="00737130">
        <w:rPr>
          <w:sz w:val="22"/>
          <w:szCs w:val="22"/>
        </w:rPr>
        <w:t xml:space="preserve"> </w:t>
      </w:r>
      <w:r>
        <w:rPr>
          <w:sz w:val="22"/>
          <w:szCs w:val="22"/>
        </w:rPr>
        <w:t xml:space="preserve">s. a jedná se o </w:t>
      </w:r>
      <w:r w:rsidR="00885E50">
        <w:rPr>
          <w:sz w:val="22"/>
          <w:szCs w:val="22"/>
        </w:rPr>
        <w:t>zhodnocení</w:t>
      </w:r>
      <w:r w:rsidR="00E40E46">
        <w:rPr>
          <w:sz w:val="22"/>
          <w:szCs w:val="22"/>
        </w:rPr>
        <w:t xml:space="preserve"> uložených finančních prostředků</w:t>
      </w:r>
      <w:r>
        <w:rPr>
          <w:sz w:val="22"/>
          <w:szCs w:val="22"/>
        </w:rPr>
        <w:t xml:space="preserve"> od r</w:t>
      </w:r>
      <w:r w:rsidR="00737130">
        <w:rPr>
          <w:sz w:val="22"/>
          <w:szCs w:val="22"/>
        </w:rPr>
        <w:t>oku</w:t>
      </w:r>
      <w:r>
        <w:rPr>
          <w:sz w:val="22"/>
          <w:szCs w:val="22"/>
        </w:rPr>
        <w:t xml:space="preserve"> 2011 – 6/2013. Č</w:t>
      </w:r>
      <w:r w:rsidRPr="00D63F60">
        <w:rPr>
          <w:sz w:val="22"/>
          <w:szCs w:val="22"/>
        </w:rPr>
        <w:t xml:space="preserve">ástka přechodné finanční výpomoci </w:t>
      </w:r>
      <w:r>
        <w:rPr>
          <w:sz w:val="22"/>
          <w:szCs w:val="22"/>
        </w:rPr>
        <w:t xml:space="preserve">byla přijata </w:t>
      </w:r>
      <w:r w:rsidRPr="00D63F60">
        <w:rPr>
          <w:sz w:val="22"/>
          <w:szCs w:val="22"/>
        </w:rPr>
        <w:t>ve výši 1.000</w:t>
      </w:r>
      <w:r>
        <w:rPr>
          <w:sz w:val="22"/>
          <w:szCs w:val="22"/>
        </w:rPr>
        <w:t> tis. Kč</w:t>
      </w:r>
      <w:r w:rsidRPr="00D63F60">
        <w:rPr>
          <w:sz w:val="22"/>
          <w:szCs w:val="22"/>
        </w:rPr>
        <w:t xml:space="preserve"> od MČ Lipence. Na položce 8128 Aktivní operace řízení likvidity – výdaje je za</w:t>
      </w:r>
      <w:r w:rsidR="00552BB2">
        <w:rPr>
          <w:sz w:val="22"/>
          <w:szCs w:val="22"/>
        </w:rPr>
        <w:t>účtováno celkem -104.582,4</w:t>
      </w:r>
      <w:r w:rsidRPr="00D63F60">
        <w:rPr>
          <w:sz w:val="22"/>
          <w:szCs w:val="22"/>
        </w:rPr>
        <w:t xml:space="preserve"> </w:t>
      </w:r>
      <w:r>
        <w:rPr>
          <w:sz w:val="22"/>
          <w:szCs w:val="22"/>
        </w:rPr>
        <w:t>tis. Kč</w:t>
      </w:r>
      <w:r w:rsidRPr="00D63F60">
        <w:rPr>
          <w:sz w:val="22"/>
          <w:szCs w:val="22"/>
        </w:rPr>
        <w:t>.</w:t>
      </w:r>
      <w:r>
        <w:rPr>
          <w:sz w:val="22"/>
          <w:szCs w:val="22"/>
        </w:rPr>
        <w:t xml:space="preserve"> </w:t>
      </w:r>
    </w:p>
    <w:p w:rsidR="00F0180B" w:rsidRDefault="00F0180B" w:rsidP="00B669A9">
      <w:pPr>
        <w:jc w:val="both"/>
        <w:rPr>
          <w:b/>
          <w:sz w:val="22"/>
          <w:szCs w:val="22"/>
        </w:rPr>
      </w:pPr>
    </w:p>
    <w:p w:rsidR="00CE15D4" w:rsidRDefault="00F07880" w:rsidP="003E450D">
      <w:pPr>
        <w:pStyle w:val="Nadpis3"/>
      </w:pPr>
      <w:bookmarkStart w:id="16" w:name="_Toc385875203"/>
      <w:r>
        <w:t>Výdaje</w:t>
      </w:r>
      <w:bookmarkEnd w:id="16"/>
    </w:p>
    <w:p w:rsidR="00B01F63" w:rsidRDefault="00567E7D" w:rsidP="00C46D89">
      <w:pPr>
        <w:jc w:val="both"/>
        <w:rPr>
          <w:sz w:val="22"/>
          <w:szCs w:val="22"/>
        </w:rPr>
      </w:pPr>
      <w:r w:rsidRPr="00E62C3B">
        <w:rPr>
          <w:sz w:val="22"/>
          <w:szCs w:val="22"/>
        </w:rPr>
        <w:t>Výdaje byly realizovány v celkové výši 681.344.079,64</w:t>
      </w:r>
      <w:r w:rsidR="005E1108">
        <w:rPr>
          <w:sz w:val="22"/>
          <w:szCs w:val="22"/>
        </w:rPr>
        <w:t> Kč</w:t>
      </w:r>
      <w:r w:rsidRPr="00E62C3B">
        <w:rPr>
          <w:sz w:val="22"/>
          <w:szCs w:val="22"/>
        </w:rPr>
        <w:t>, tj. plnění na 85,</w:t>
      </w:r>
      <w:r w:rsidR="00BD2563">
        <w:rPr>
          <w:sz w:val="22"/>
          <w:szCs w:val="22"/>
        </w:rPr>
        <w:t>2</w:t>
      </w:r>
      <w:r w:rsidRPr="00E62C3B">
        <w:rPr>
          <w:sz w:val="22"/>
          <w:szCs w:val="22"/>
        </w:rPr>
        <w:t> %.</w:t>
      </w:r>
      <w:r w:rsidR="003E450D">
        <w:rPr>
          <w:sz w:val="22"/>
          <w:szCs w:val="22"/>
        </w:rPr>
        <w:t xml:space="preserve"> </w:t>
      </w:r>
      <w:r w:rsidR="00444653" w:rsidRPr="006E46CC">
        <w:rPr>
          <w:sz w:val="22"/>
          <w:szCs w:val="22"/>
        </w:rPr>
        <w:t>Výdajová část ro</w:t>
      </w:r>
      <w:r w:rsidR="00444653" w:rsidRPr="006E46CC">
        <w:rPr>
          <w:sz w:val="22"/>
          <w:szCs w:val="22"/>
        </w:rPr>
        <w:t>z</w:t>
      </w:r>
      <w:r w:rsidR="00444653" w:rsidRPr="006E46CC">
        <w:rPr>
          <w:sz w:val="22"/>
          <w:szCs w:val="22"/>
        </w:rPr>
        <w:t>počtu</w:t>
      </w:r>
      <w:r w:rsidR="00444653" w:rsidRPr="00F20418">
        <w:rPr>
          <w:sz w:val="22"/>
          <w:szCs w:val="22"/>
        </w:rPr>
        <w:t xml:space="preserve"> </w:t>
      </w:r>
      <w:r w:rsidR="00FB4E60">
        <w:rPr>
          <w:sz w:val="22"/>
          <w:szCs w:val="22"/>
        </w:rPr>
        <w:t xml:space="preserve">byla navýšena formou úprav rozpočtu celkem o částku </w:t>
      </w:r>
      <w:r w:rsidR="00503D2F">
        <w:rPr>
          <w:sz w:val="22"/>
          <w:szCs w:val="22"/>
        </w:rPr>
        <w:t>8</w:t>
      </w:r>
      <w:r w:rsidR="00B159B3">
        <w:rPr>
          <w:sz w:val="22"/>
          <w:szCs w:val="22"/>
        </w:rPr>
        <w:t>7.502,7</w:t>
      </w:r>
      <w:r w:rsidR="00FB4E60">
        <w:rPr>
          <w:sz w:val="22"/>
          <w:szCs w:val="22"/>
        </w:rPr>
        <w:t xml:space="preserve"> </w:t>
      </w:r>
      <w:r w:rsidR="005E1108">
        <w:rPr>
          <w:sz w:val="22"/>
          <w:szCs w:val="22"/>
        </w:rPr>
        <w:t>tis. Kč</w:t>
      </w:r>
      <w:r w:rsidR="00FB4E60">
        <w:rPr>
          <w:sz w:val="22"/>
          <w:szCs w:val="22"/>
        </w:rPr>
        <w:t xml:space="preserve"> </w:t>
      </w:r>
      <w:r w:rsidR="00C24FDB" w:rsidRPr="00F20418">
        <w:rPr>
          <w:sz w:val="22"/>
          <w:szCs w:val="22"/>
        </w:rPr>
        <w:t>uprav</w:t>
      </w:r>
      <w:r w:rsidR="0098453D" w:rsidRPr="00F20418">
        <w:rPr>
          <w:sz w:val="22"/>
          <w:szCs w:val="22"/>
        </w:rPr>
        <w:t>e</w:t>
      </w:r>
      <w:r w:rsidR="00C24FDB" w:rsidRPr="00F20418">
        <w:rPr>
          <w:sz w:val="22"/>
          <w:szCs w:val="22"/>
        </w:rPr>
        <w:t xml:space="preserve">ného rozpočtu. </w:t>
      </w:r>
      <w:r w:rsidR="0098453D" w:rsidRPr="00F20418">
        <w:rPr>
          <w:sz w:val="22"/>
          <w:szCs w:val="22"/>
        </w:rPr>
        <w:t xml:space="preserve">Neinvestiční výdaje byly plněny na </w:t>
      </w:r>
      <w:r w:rsidR="00503D2F">
        <w:rPr>
          <w:sz w:val="22"/>
          <w:szCs w:val="22"/>
        </w:rPr>
        <w:t>8</w:t>
      </w:r>
      <w:r w:rsidR="00476D82">
        <w:rPr>
          <w:sz w:val="22"/>
          <w:szCs w:val="22"/>
        </w:rPr>
        <w:t>8,8</w:t>
      </w:r>
      <w:r w:rsidR="0098453D" w:rsidRPr="00F20418">
        <w:rPr>
          <w:sz w:val="22"/>
          <w:szCs w:val="22"/>
        </w:rPr>
        <w:t xml:space="preserve"> %</w:t>
      </w:r>
      <w:r w:rsidR="006072B4" w:rsidRPr="00F20418">
        <w:rPr>
          <w:sz w:val="22"/>
          <w:szCs w:val="22"/>
        </w:rPr>
        <w:t>,</w:t>
      </w:r>
      <w:r w:rsidR="0098453D" w:rsidRPr="00F20418">
        <w:rPr>
          <w:sz w:val="22"/>
          <w:szCs w:val="22"/>
        </w:rPr>
        <w:t xml:space="preserve"> investiční výdaje na </w:t>
      </w:r>
      <w:r w:rsidR="00476D82">
        <w:rPr>
          <w:sz w:val="22"/>
          <w:szCs w:val="22"/>
        </w:rPr>
        <w:t>72</w:t>
      </w:r>
      <w:r w:rsidR="0098453D" w:rsidRPr="00F20418">
        <w:rPr>
          <w:sz w:val="22"/>
          <w:szCs w:val="22"/>
        </w:rPr>
        <w:t xml:space="preserve"> % a granty na </w:t>
      </w:r>
      <w:r w:rsidR="00476D82">
        <w:rPr>
          <w:sz w:val="22"/>
          <w:szCs w:val="22"/>
        </w:rPr>
        <w:t>96,9</w:t>
      </w:r>
      <w:r w:rsidR="00AE2EBC">
        <w:rPr>
          <w:sz w:val="22"/>
          <w:szCs w:val="22"/>
        </w:rPr>
        <w:t xml:space="preserve"> %.</w:t>
      </w:r>
      <w:r w:rsidR="0098453D" w:rsidRPr="00F20418">
        <w:rPr>
          <w:sz w:val="22"/>
          <w:szCs w:val="22"/>
        </w:rPr>
        <w:t xml:space="preserve"> </w:t>
      </w:r>
      <w:r w:rsidR="00476D82">
        <w:rPr>
          <w:sz w:val="22"/>
          <w:szCs w:val="22"/>
        </w:rPr>
        <w:t>Nižší če</w:t>
      </w:r>
      <w:r w:rsidR="00476D82">
        <w:rPr>
          <w:sz w:val="22"/>
          <w:szCs w:val="22"/>
        </w:rPr>
        <w:t>r</w:t>
      </w:r>
      <w:r w:rsidR="00476D82">
        <w:rPr>
          <w:sz w:val="22"/>
          <w:szCs w:val="22"/>
        </w:rPr>
        <w:t>pání investičních výdajů je v důsledku nerealizování některých projektů, které byly zrušeny nebo b</w:t>
      </w:r>
      <w:r w:rsidR="00476D82">
        <w:rPr>
          <w:sz w:val="22"/>
          <w:szCs w:val="22"/>
        </w:rPr>
        <w:t>u</w:t>
      </w:r>
      <w:r w:rsidR="00476D82">
        <w:rPr>
          <w:sz w:val="22"/>
          <w:szCs w:val="22"/>
        </w:rPr>
        <w:t>dou dokončeny až v roce 2014.</w:t>
      </w:r>
      <w:r w:rsidR="00C46D89">
        <w:rPr>
          <w:sz w:val="22"/>
          <w:szCs w:val="22"/>
        </w:rPr>
        <w:t xml:space="preserve"> Podrobnější komentář k čerpání výdajů je </w:t>
      </w:r>
      <w:r w:rsidR="00E67B3E">
        <w:rPr>
          <w:sz w:val="22"/>
          <w:szCs w:val="22"/>
        </w:rPr>
        <w:t>uveden</w:t>
      </w:r>
      <w:r w:rsidR="00C46D89">
        <w:rPr>
          <w:sz w:val="22"/>
          <w:szCs w:val="22"/>
        </w:rPr>
        <w:t xml:space="preserve"> u jed</w:t>
      </w:r>
      <w:r w:rsidR="003E450D">
        <w:rPr>
          <w:sz w:val="22"/>
          <w:szCs w:val="22"/>
        </w:rPr>
        <w:t>notlivých po</w:t>
      </w:r>
      <w:r w:rsidR="003E450D">
        <w:rPr>
          <w:sz w:val="22"/>
          <w:szCs w:val="22"/>
        </w:rPr>
        <w:t>d</w:t>
      </w:r>
      <w:r w:rsidR="003E450D">
        <w:rPr>
          <w:sz w:val="22"/>
          <w:szCs w:val="22"/>
        </w:rPr>
        <w:t>kapitol rozpočtu.</w:t>
      </w:r>
    </w:p>
    <w:p w:rsidR="00123347" w:rsidRDefault="00123347" w:rsidP="0035706A">
      <w:pPr>
        <w:jc w:val="both"/>
        <w:rPr>
          <w:b/>
          <w:sz w:val="22"/>
          <w:szCs w:val="22"/>
        </w:rPr>
      </w:pPr>
    </w:p>
    <w:p w:rsidR="0035706A" w:rsidRPr="00647A7A" w:rsidRDefault="0035706A" w:rsidP="0035706A">
      <w:pPr>
        <w:jc w:val="both"/>
        <w:rPr>
          <w:b/>
          <w:sz w:val="22"/>
          <w:szCs w:val="22"/>
        </w:rPr>
      </w:pPr>
      <w:r w:rsidRPr="0008492C">
        <w:rPr>
          <w:b/>
          <w:sz w:val="22"/>
          <w:szCs w:val="22"/>
        </w:rPr>
        <w:t>Dr</w:t>
      </w:r>
      <w:r w:rsidR="005E1108">
        <w:rPr>
          <w:b/>
          <w:sz w:val="22"/>
          <w:szCs w:val="22"/>
        </w:rPr>
        <w:t>uhové plnění výdajů za rok 2013</w:t>
      </w:r>
    </w:p>
    <w:p w:rsidR="00564989" w:rsidRPr="00EB6EE9" w:rsidRDefault="005E1108" w:rsidP="005E1108">
      <w:pPr>
        <w:jc w:val="right"/>
        <w:rPr>
          <w:sz w:val="22"/>
          <w:szCs w:val="22"/>
        </w:rPr>
      </w:pPr>
      <w:r w:rsidRPr="00EB6EE9">
        <w:rPr>
          <w:sz w:val="22"/>
          <w:szCs w:val="22"/>
        </w:rPr>
        <w:t>v tis. Kč</w:t>
      </w:r>
    </w:p>
    <w:tbl>
      <w:tblPr>
        <w:tblW w:w="18405" w:type="dxa"/>
        <w:tblInd w:w="65" w:type="dxa"/>
        <w:tblLayout w:type="fixed"/>
        <w:tblCellMar>
          <w:left w:w="70" w:type="dxa"/>
          <w:right w:w="70" w:type="dxa"/>
        </w:tblCellMar>
        <w:tblLook w:val="04A0"/>
      </w:tblPr>
      <w:tblGrid>
        <w:gridCol w:w="2256"/>
        <w:gridCol w:w="992"/>
        <w:gridCol w:w="900"/>
        <w:gridCol w:w="725"/>
        <w:gridCol w:w="1067"/>
        <w:gridCol w:w="1011"/>
        <w:gridCol w:w="992"/>
        <w:gridCol w:w="1134"/>
        <w:gridCol w:w="4400"/>
        <w:gridCol w:w="2464"/>
        <w:gridCol w:w="2464"/>
      </w:tblGrid>
      <w:tr w:rsidR="00E567A3" w:rsidTr="005E2BA1">
        <w:trPr>
          <w:trHeight w:val="720"/>
        </w:trPr>
        <w:tc>
          <w:tcPr>
            <w:tcW w:w="2256" w:type="dxa"/>
            <w:vMerge w:val="restart"/>
            <w:tcBorders>
              <w:top w:val="single" w:sz="4" w:space="0" w:color="auto"/>
              <w:left w:val="single" w:sz="4" w:space="0" w:color="auto"/>
              <w:bottom w:val="single" w:sz="8" w:space="0" w:color="000000"/>
              <w:right w:val="single" w:sz="4" w:space="0" w:color="auto"/>
            </w:tcBorders>
            <w:shd w:val="clear" w:color="auto" w:fill="EEECE1"/>
            <w:vAlign w:val="center"/>
            <w:hideMark/>
          </w:tcPr>
          <w:p w:rsidR="00E567A3" w:rsidRPr="00E567A3" w:rsidRDefault="00E567A3">
            <w:pPr>
              <w:jc w:val="center"/>
              <w:rPr>
                <w:b/>
                <w:bCs/>
                <w:sz w:val="18"/>
                <w:szCs w:val="18"/>
              </w:rPr>
            </w:pPr>
            <w:r w:rsidRPr="00E567A3">
              <w:rPr>
                <w:b/>
                <w:bCs/>
                <w:sz w:val="18"/>
                <w:szCs w:val="18"/>
              </w:rPr>
              <w:t xml:space="preserve">Druh výdajů </w:t>
            </w:r>
          </w:p>
        </w:tc>
        <w:tc>
          <w:tcPr>
            <w:tcW w:w="992" w:type="dxa"/>
            <w:vMerge w:val="restart"/>
            <w:tcBorders>
              <w:top w:val="single" w:sz="4" w:space="0" w:color="auto"/>
              <w:left w:val="single" w:sz="4" w:space="0" w:color="auto"/>
              <w:bottom w:val="single" w:sz="8" w:space="0" w:color="000000"/>
              <w:right w:val="single" w:sz="4" w:space="0" w:color="auto"/>
            </w:tcBorders>
            <w:shd w:val="clear" w:color="auto" w:fill="EEECE1"/>
            <w:vAlign w:val="center"/>
            <w:hideMark/>
          </w:tcPr>
          <w:p w:rsidR="00E567A3" w:rsidRPr="00E567A3" w:rsidRDefault="00E567A3" w:rsidP="00DB01A1">
            <w:pPr>
              <w:jc w:val="center"/>
              <w:rPr>
                <w:b/>
                <w:bCs/>
                <w:sz w:val="18"/>
                <w:szCs w:val="18"/>
              </w:rPr>
            </w:pPr>
            <w:r w:rsidRPr="00E567A3">
              <w:rPr>
                <w:b/>
                <w:bCs/>
                <w:sz w:val="18"/>
                <w:szCs w:val="18"/>
              </w:rPr>
              <w:t xml:space="preserve">Schválený rozpočet 2013 </w:t>
            </w:r>
          </w:p>
        </w:tc>
        <w:tc>
          <w:tcPr>
            <w:tcW w:w="900" w:type="dxa"/>
            <w:vMerge w:val="restart"/>
            <w:tcBorders>
              <w:top w:val="single" w:sz="4" w:space="0" w:color="auto"/>
              <w:left w:val="single" w:sz="4" w:space="0" w:color="auto"/>
              <w:bottom w:val="single" w:sz="8" w:space="0" w:color="000000"/>
              <w:right w:val="single" w:sz="4" w:space="0" w:color="auto"/>
            </w:tcBorders>
            <w:shd w:val="clear" w:color="auto" w:fill="EEECE1"/>
            <w:vAlign w:val="center"/>
            <w:hideMark/>
          </w:tcPr>
          <w:p w:rsidR="00E567A3" w:rsidRPr="00E567A3" w:rsidRDefault="00E567A3" w:rsidP="00DB01A1">
            <w:pPr>
              <w:jc w:val="center"/>
              <w:rPr>
                <w:b/>
                <w:bCs/>
                <w:sz w:val="18"/>
                <w:szCs w:val="18"/>
              </w:rPr>
            </w:pPr>
            <w:r w:rsidRPr="00E567A3">
              <w:rPr>
                <w:b/>
                <w:bCs/>
                <w:sz w:val="18"/>
                <w:szCs w:val="18"/>
              </w:rPr>
              <w:t>Upravený rozpočet 2013</w:t>
            </w:r>
          </w:p>
        </w:tc>
        <w:tc>
          <w:tcPr>
            <w:tcW w:w="725" w:type="dxa"/>
            <w:vMerge w:val="restart"/>
            <w:tcBorders>
              <w:top w:val="single" w:sz="4" w:space="0" w:color="auto"/>
              <w:left w:val="single" w:sz="4" w:space="0" w:color="auto"/>
              <w:bottom w:val="single" w:sz="8" w:space="0" w:color="000000"/>
              <w:right w:val="single" w:sz="4" w:space="0" w:color="auto"/>
            </w:tcBorders>
            <w:shd w:val="clear" w:color="auto" w:fill="EEECE1"/>
            <w:vAlign w:val="center"/>
            <w:hideMark/>
          </w:tcPr>
          <w:p w:rsidR="0081055F" w:rsidRDefault="00E567A3">
            <w:pPr>
              <w:jc w:val="center"/>
              <w:rPr>
                <w:b/>
                <w:bCs/>
                <w:sz w:val="18"/>
                <w:szCs w:val="18"/>
              </w:rPr>
            </w:pPr>
            <w:r w:rsidRPr="00E567A3">
              <w:rPr>
                <w:b/>
                <w:bCs/>
                <w:sz w:val="18"/>
                <w:szCs w:val="18"/>
              </w:rPr>
              <w:t xml:space="preserve">UR </w:t>
            </w:r>
          </w:p>
          <w:p w:rsidR="00E567A3" w:rsidRPr="00E567A3" w:rsidRDefault="00E567A3">
            <w:pPr>
              <w:jc w:val="center"/>
              <w:rPr>
                <w:b/>
                <w:bCs/>
                <w:sz w:val="18"/>
                <w:szCs w:val="18"/>
              </w:rPr>
            </w:pPr>
            <w:r w:rsidRPr="00E567A3">
              <w:rPr>
                <w:b/>
                <w:bCs/>
                <w:sz w:val="18"/>
                <w:szCs w:val="18"/>
              </w:rPr>
              <w:t xml:space="preserve">% z celku </w:t>
            </w:r>
          </w:p>
        </w:tc>
        <w:tc>
          <w:tcPr>
            <w:tcW w:w="1067" w:type="dxa"/>
            <w:vMerge w:val="restart"/>
            <w:tcBorders>
              <w:top w:val="single" w:sz="4" w:space="0" w:color="auto"/>
              <w:left w:val="single" w:sz="4" w:space="0" w:color="auto"/>
              <w:bottom w:val="single" w:sz="8" w:space="0" w:color="000000"/>
              <w:right w:val="single" w:sz="4" w:space="0" w:color="auto"/>
            </w:tcBorders>
            <w:shd w:val="clear" w:color="auto" w:fill="EEECE1"/>
            <w:vAlign w:val="center"/>
            <w:hideMark/>
          </w:tcPr>
          <w:p w:rsidR="00E567A3" w:rsidRPr="00E567A3" w:rsidRDefault="00E567A3">
            <w:pPr>
              <w:jc w:val="center"/>
              <w:rPr>
                <w:b/>
                <w:bCs/>
                <w:sz w:val="18"/>
                <w:szCs w:val="18"/>
              </w:rPr>
            </w:pPr>
            <w:r w:rsidRPr="00E567A3">
              <w:rPr>
                <w:b/>
                <w:bCs/>
                <w:sz w:val="18"/>
                <w:szCs w:val="18"/>
              </w:rPr>
              <w:t>Skutečnost k 31.12.2013</w:t>
            </w:r>
          </w:p>
        </w:tc>
        <w:tc>
          <w:tcPr>
            <w:tcW w:w="1011" w:type="dxa"/>
            <w:vMerge w:val="restart"/>
            <w:tcBorders>
              <w:top w:val="single" w:sz="4" w:space="0" w:color="auto"/>
              <w:left w:val="single" w:sz="4" w:space="0" w:color="auto"/>
              <w:right w:val="single" w:sz="4" w:space="0" w:color="auto"/>
            </w:tcBorders>
            <w:shd w:val="clear" w:color="auto" w:fill="EEECE1"/>
            <w:vAlign w:val="center"/>
          </w:tcPr>
          <w:p w:rsidR="0081055F" w:rsidRDefault="00E567A3" w:rsidP="00E567A3">
            <w:pPr>
              <w:jc w:val="center"/>
              <w:rPr>
                <w:b/>
                <w:bCs/>
                <w:sz w:val="18"/>
                <w:szCs w:val="18"/>
              </w:rPr>
            </w:pPr>
            <w:r>
              <w:rPr>
                <w:b/>
                <w:bCs/>
                <w:sz w:val="18"/>
                <w:szCs w:val="18"/>
              </w:rPr>
              <w:t xml:space="preserve">Skutečnost % </w:t>
            </w:r>
          </w:p>
          <w:p w:rsidR="00E567A3" w:rsidRPr="00E567A3" w:rsidRDefault="00E567A3" w:rsidP="00E567A3">
            <w:pPr>
              <w:jc w:val="center"/>
              <w:rPr>
                <w:b/>
                <w:bCs/>
                <w:sz w:val="18"/>
                <w:szCs w:val="18"/>
              </w:rPr>
            </w:pPr>
            <w:r>
              <w:rPr>
                <w:b/>
                <w:bCs/>
                <w:sz w:val="18"/>
                <w:szCs w:val="18"/>
              </w:rPr>
              <w:t>z celku</w:t>
            </w:r>
          </w:p>
        </w:tc>
        <w:tc>
          <w:tcPr>
            <w:tcW w:w="992" w:type="dxa"/>
            <w:vMerge w:val="restart"/>
            <w:tcBorders>
              <w:top w:val="single" w:sz="4" w:space="0" w:color="auto"/>
              <w:left w:val="single" w:sz="4" w:space="0" w:color="auto"/>
              <w:right w:val="single" w:sz="4" w:space="0" w:color="auto"/>
            </w:tcBorders>
            <w:shd w:val="clear" w:color="auto" w:fill="EEECE1"/>
            <w:vAlign w:val="center"/>
          </w:tcPr>
          <w:p w:rsidR="0081055F" w:rsidRDefault="00E567A3" w:rsidP="00E567A3">
            <w:pPr>
              <w:jc w:val="center"/>
              <w:rPr>
                <w:b/>
                <w:bCs/>
                <w:sz w:val="18"/>
                <w:szCs w:val="18"/>
              </w:rPr>
            </w:pPr>
            <w:r>
              <w:rPr>
                <w:b/>
                <w:bCs/>
                <w:sz w:val="18"/>
                <w:szCs w:val="18"/>
              </w:rPr>
              <w:t xml:space="preserve">% </w:t>
            </w:r>
          </w:p>
          <w:p w:rsidR="00E567A3" w:rsidRPr="00E567A3" w:rsidRDefault="00E567A3" w:rsidP="00E567A3">
            <w:pPr>
              <w:jc w:val="center"/>
              <w:rPr>
                <w:b/>
                <w:bCs/>
                <w:sz w:val="18"/>
                <w:szCs w:val="18"/>
              </w:rPr>
            </w:pPr>
            <w:r>
              <w:rPr>
                <w:b/>
                <w:bCs/>
                <w:sz w:val="18"/>
                <w:szCs w:val="18"/>
              </w:rPr>
              <w:t>plnění k UR</w:t>
            </w:r>
          </w:p>
        </w:tc>
        <w:tc>
          <w:tcPr>
            <w:tcW w:w="1134" w:type="dxa"/>
            <w:vMerge w:val="restart"/>
            <w:tcBorders>
              <w:top w:val="single" w:sz="4" w:space="0" w:color="auto"/>
              <w:left w:val="single" w:sz="4" w:space="0" w:color="auto"/>
              <w:bottom w:val="single" w:sz="8" w:space="0" w:color="000000"/>
              <w:right w:val="single" w:sz="4" w:space="0" w:color="auto"/>
            </w:tcBorders>
            <w:shd w:val="clear" w:color="auto" w:fill="EEECE1"/>
            <w:vAlign w:val="center"/>
            <w:hideMark/>
          </w:tcPr>
          <w:p w:rsidR="00E567A3" w:rsidRPr="00E567A3" w:rsidRDefault="002A6528" w:rsidP="002A6528">
            <w:pPr>
              <w:jc w:val="center"/>
              <w:rPr>
                <w:b/>
                <w:bCs/>
                <w:sz w:val="18"/>
                <w:szCs w:val="18"/>
              </w:rPr>
            </w:pPr>
            <w:r w:rsidRPr="0008492C">
              <w:rPr>
                <w:b/>
                <w:bCs/>
                <w:sz w:val="18"/>
                <w:szCs w:val="18"/>
              </w:rPr>
              <w:t>Plnění</w:t>
            </w:r>
            <w:r w:rsidR="00E567A3" w:rsidRPr="0008492C">
              <w:rPr>
                <w:b/>
                <w:bCs/>
                <w:sz w:val="18"/>
                <w:szCs w:val="18"/>
              </w:rPr>
              <w:t xml:space="preserve"> k 31.12.2012</w:t>
            </w:r>
          </w:p>
        </w:tc>
        <w:tc>
          <w:tcPr>
            <w:tcW w:w="4400" w:type="dxa"/>
            <w:vAlign w:val="center"/>
          </w:tcPr>
          <w:p w:rsidR="00E567A3" w:rsidRPr="00E567A3" w:rsidRDefault="00E567A3" w:rsidP="00FC2D76">
            <w:pPr>
              <w:jc w:val="center"/>
              <w:rPr>
                <w:b/>
                <w:bCs/>
                <w:sz w:val="18"/>
                <w:szCs w:val="18"/>
              </w:rPr>
            </w:pPr>
          </w:p>
        </w:tc>
        <w:tc>
          <w:tcPr>
            <w:tcW w:w="2464" w:type="dxa"/>
          </w:tcPr>
          <w:p w:rsidR="00E567A3" w:rsidRPr="00E567A3" w:rsidRDefault="00E567A3" w:rsidP="00FC2D76">
            <w:pPr>
              <w:jc w:val="center"/>
              <w:rPr>
                <w:b/>
                <w:bCs/>
                <w:sz w:val="18"/>
                <w:szCs w:val="18"/>
              </w:rPr>
            </w:pPr>
          </w:p>
        </w:tc>
        <w:tc>
          <w:tcPr>
            <w:tcW w:w="2464" w:type="dxa"/>
            <w:vAlign w:val="center"/>
          </w:tcPr>
          <w:p w:rsidR="00E567A3" w:rsidRPr="00E567A3" w:rsidRDefault="00E567A3" w:rsidP="00FC2D76">
            <w:pPr>
              <w:jc w:val="center"/>
              <w:rPr>
                <w:b/>
                <w:bCs/>
                <w:sz w:val="18"/>
                <w:szCs w:val="18"/>
              </w:rPr>
            </w:pPr>
          </w:p>
        </w:tc>
      </w:tr>
      <w:tr w:rsidR="00E567A3" w:rsidTr="005E2BA1">
        <w:trPr>
          <w:trHeight w:val="53"/>
        </w:trPr>
        <w:tc>
          <w:tcPr>
            <w:tcW w:w="2256"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E567A3" w:rsidRPr="00E567A3" w:rsidRDefault="00E567A3">
            <w:pPr>
              <w:rPr>
                <w:b/>
                <w:bCs/>
                <w:sz w:val="18"/>
                <w:szCs w:val="18"/>
              </w:rPr>
            </w:pPr>
          </w:p>
        </w:tc>
        <w:tc>
          <w:tcPr>
            <w:tcW w:w="992"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E567A3" w:rsidRPr="00E567A3" w:rsidRDefault="00E567A3">
            <w:pPr>
              <w:rPr>
                <w:b/>
                <w:bCs/>
                <w:sz w:val="18"/>
                <w:szCs w:val="18"/>
              </w:rPr>
            </w:pPr>
          </w:p>
        </w:tc>
        <w:tc>
          <w:tcPr>
            <w:tcW w:w="900"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E567A3" w:rsidRPr="00E567A3" w:rsidRDefault="00E567A3">
            <w:pPr>
              <w:rPr>
                <w:b/>
                <w:bCs/>
                <w:sz w:val="18"/>
                <w:szCs w:val="18"/>
              </w:rPr>
            </w:pPr>
          </w:p>
        </w:tc>
        <w:tc>
          <w:tcPr>
            <w:tcW w:w="725"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E567A3" w:rsidRPr="00E567A3" w:rsidRDefault="00E567A3">
            <w:pPr>
              <w:rPr>
                <w:b/>
                <w:bCs/>
                <w:sz w:val="18"/>
                <w:szCs w:val="18"/>
              </w:rPr>
            </w:pPr>
          </w:p>
        </w:tc>
        <w:tc>
          <w:tcPr>
            <w:tcW w:w="1067"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E567A3" w:rsidRPr="00E567A3" w:rsidRDefault="00E567A3">
            <w:pPr>
              <w:rPr>
                <w:b/>
                <w:bCs/>
                <w:sz w:val="18"/>
                <w:szCs w:val="18"/>
              </w:rPr>
            </w:pPr>
          </w:p>
        </w:tc>
        <w:tc>
          <w:tcPr>
            <w:tcW w:w="1011" w:type="dxa"/>
            <w:vMerge/>
            <w:tcBorders>
              <w:left w:val="single" w:sz="4" w:space="0" w:color="auto"/>
              <w:bottom w:val="single" w:sz="4" w:space="0" w:color="auto"/>
              <w:right w:val="single" w:sz="4" w:space="0" w:color="auto"/>
            </w:tcBorders>
            <w:shd w:val="clear" w:color="auto" w:fill="EEECE1"/>
          </w:tcPr>
          <w:p w:rsidR="00E567A3" w:rsidRPr="00E567A3" w:rsidRDefault="00E567A3">
            <w:pPr>
              <w:rPr>
                <w:b/>
                <w:bCs/>
                <w:sz w:val="18"/>
                <w:szCs w:val="18"/>
              </w:rPr>
            </w:pPr>
          </w:p>
        </w:tc>
        <w:tc>
          <w:tcPr>
            <w:tcW w:w="992" w:type="dxa"/>
            <w:vMerge/>
            <w:tcBorders>
              <w:left w:val="single" w:sz="4" w:space="0" w:color="auto"/>
              <w:bottom w:val="single" w:sz="8" w:space="0" w:color="000000"/>
              <w:right w:val="single" w:sz="4" w:space="0" w:color="auto"/>
            </w:tcBorders>
            <w:shd w:val="clear" w:color="auto" w:fill="EEECE1"/>
          </w:tcPr>
          <w:p w:rsidR="00E567A3" w:rsidRPr="00E567A3" w:rsidRDefault="00E567A3">
            <w:pPr>
              <w:rPr>
                <w:b/>
                <w:bCs/>
                <w:sz w:val="18"/>
                <w:szCs w:val="18"/>
              </w:rPr>
            </w:pPr>
          </w:p>
        </w:tc>
        <w:tc>
          <w:tcPr>
            <w:tcW w:w="1134" w:type="dxa"/>
            <w:vMerge/>
            <w:tcBorders>
              <w:top w:val="single" w:sz="4" w:space="0" w:color="auto"/>
              <w:left w:val="single" w:sz="4" w:space="0" w:color="auto"/>
              <w:bottom w:val="single" w:sz="8" w:space="0" w:color="000000"/>
              <w:right w:val="single" w:sz="4" w:space="0" w:color="auto"/>
            </w:tcBorders>
            <w:shd w:val="clear" w:color="auto" w:fill="EEECE1"/>
            <w:vAlign w:val="center"/>
            <w:hideMark/>
          </w:tcPr>
          <w:p w:rsidR="00E567A3" w:rsidRPr="00E567A3" w:rsidRDefault="00E567A3">
            <w:pPr>
              <w:rPr>
                <w:b/>
                <w:bCs/>
                <w:sz w:val="18"/>
                <w:szCs w:val="18"/>
              </w:rPr>
            </w:pPr>
          </w:p>
        </w:tc>
        <w:tc>
          <w:tcPr>
            <w:tcW w:w="4400" w:type="dxa"/>
            <w:vAlign w:val="center"/>
          </w:tcPr>
          <w:p w:rsidR="00E567A3" w:rsidRPr="00E567A3" w:rsidRDefault="00E567A3" w:rsidP="00FC2D76">
            <w:pPr>
              <w:rPr>
                <w:b/>
                <w:bCs/>
                <w:sz w:val="18"/>
                <w:szCs w:val="18"/>
              </w:rPr>
            </w:pPr>
          </w:p>
        </w:tc>
        <w:tc>
          <w:tcPr>
            <w:tcW w:w="2464" w:type="dxa"/>
          </w:tcPr>
          <w:p w:rsidR="00E567A3" w:rsidRPr="00E567A3" w:rsidRDefault="00E567A3" w:rsidP="00FC2D76">
            <w:pPr>
              <w:rPr>
                <w:b/>
                <w:bCs/>
                <w:sz w:val="18"/>
                <w:szCs w:val="18"/>
              </w:rPr>
            </w:pPr>
          </w:p>
        </w:tc>
        <w:tc>
          <w:tcPr>
            <w:tcW w:w="2464" w:type="dxa"/>
            <w:vAlign w:val="center"/>
          </w:tcPr>
          <w:p w:rsidR="00E567A3" w:rsidRPr="00E567A3" w:rsidRDefault="00E567A3" w:rsidP="00FC2D76">
            <w:pPr>
              <w:rPr>
                <w:b/>
                <w:bCs/>
                <w:sz w:val="18"/>
                <w:szCs w:val="18"/>
              </w:rPr>
            </w:pPr>
          </w:p>
        </w:tc>
      </w:tr>
      <w:tr w:rsidR="00E567A3" w:rsidTr="00454DE6">
        <w:trPr>
          <w:trHeight w:val="509"/>
        </w:trPr>
        <w:tc>
          <w:tcPr>
            <w:tcW w:w="2256" w:type="dxa"/>
            <w:tcBorders>
              <w:top w:val="nil"/>
              <w:left w:val="single" w:sz="4" w:space="0" w:color="auto"/>
              <w:bottom w:val="single" w:sz="4" w:space="0" w:color="auto"/>
              <w:right w:val="single" w:sz="4" w:space="0" w:color="auto"/>
            </w:tcBorders>
            <w:shd w:val="clear" w:color="000000" w:fill="FFFFFF"/>
            <w:vAlign w:val="center"/>
            <w:hideMark/>
          </w:tcPr>
          <w:p w:rsidR="00E567A3" w:rsidRPr="00E567A3" w:rsidRDefault="00E567A3">
            <w:pPr>
              <w:rPr>
                <w:sz w:val="18"/>
                <w:szCs w:val="18"/>
              </w:rPr>
            </w:pPr>
            <w:r w:rsidRPr="00E567A3">
              <w:rPr>
                <w:sz w:val="18"/>
                <w:szCs w:val="18"/>
              </w:rPr>
              <w:t xml:space="preserve">Třída 5 - Neinvestiční výdaje </w:t>
            </w:r>
          </w:p>
        </w:tc>
        <w:tc>
          <w:tcPr>
            <w:tcW w:w="992" w:type="dxa"/>
            <w:tcBorders>
              <w:top w:val="nil"/>
              <w:left w:val="nil"/>
              <w:bottom w:val="single" w:sz="4" w:space="0" w:color="auto"/>
              <w:right w:val="single" w:sz="4" w:space="0" w:color="auto"/>
            </w:tcBorders>
            <w:shd w:val="clear" w:color="000000" w:fill="FFFFFF"/>
            <w:vAlign w:val="center"/>
            <w:hideMark/>
          </w:tcPr>
          <w:p w:rsidR="00E567A3" w:rsidRPr="00E567A3" w:rsidRDefault="00E567A3" w:rsidP="00E21CCC">
            <w:pPr>
              <w:jc w:val="right"/>
              <w:rPr>
                <w:sz w:val="18"/>
                <w:szCs w:val="18"/>
              </w:rPr>
            </w:pPr>
            <w:r w:rsidRPr="00E567A3">
              <w:rPr>
                <w:sz w:val="18"/>
                <w:szCs w:val="18"/>
              </w:rPr>
              <w:t>550</w:t>
            </w:r>
            <w:r w:rsidR="00E21CCC">
              <w:rPr>
                <w:sz w:val="18"/>
                <w:szCs w:val="18"/>
              </w:rPr>
              <w:t>.</w:t>
            </w:r>
            <w:r w:rsidRPr="00E567A3">
              <w:rPr>
                <w:sz w:val="18"/>
                <w:szCs w:val="18"/>
              </w:rPr>
              <w:t>951,3</w:t>
            </w:r>
          </w:p>
        </w:tc>
        <w:tc>
          <w:tcPr>
            <w:tcW w:w="900" w:type="dxa"/>
            <w:tcBorders>
              <w:top w:val="nil"/>
              <w:left w:val="nil"/>
              <w:bottom w:val="single" w:sz="4" w:space="0" w:color="auto"/>
              <w:right w:val="single" w:sz="4" w:space="0" w:color="auto"/>
            </w:tcBorders>
            <w:shd w:val="clear" w:color="000000" w:fill="FFFFFF"/>
            <w:vAlign w:val="center"/>
            <w:hideMark/>
          </w:tcPr>
          <w:p w:rsidR="00E567A3" w:rsidRPr="00E567A3" w:rsidRDefault="008E7ECD" w:rsidP="00E21CCC">
            <w:pPr>
              <w:jc w:val="right"/>
              <w:rPr>
                <w:sz w:val="18"/>
                <w:szCs w:val="18"/>
              </w:rPr>
            </w:pPr>
            <w:r>
              <w:rPr>
                <w:sz w:val="18"/>
                <w:szCs w:val="18"/>
              </w:rPr>
              <w:t>625</w:t>
            </w:r>
            <w:r w:rsidR="00E21CCC">
              <w:rPr>
                <w:sz w:val="18"/>
                <w:szCs w:val="18"/>
              </w:rPr>
              <w:t>.</w:t>
            </w:r>
            <w:r>
              <w:rPr>
                <w:sz w:val="18"/>
                <w:szCs w:val="18"/>
              </w:rPr>
              <w:t>334,7</w:t>
            </w:r>
          </w:p>
        </w:tc>
        <w:tc>
          <w:tcPr>
            <w:tcW w:w="725" w:type="dxa"/>
            <w:tcBorders>
              <w:top w:val="nil"/>
              <w:left w:val="nil"/>
              <w:bottom w:val="single" w:sz="4" w:space="0" w:color="auto"/>
              <w:right w:val="single" w:sz="4" w:space="0" w:color="auto"/>
            </w:tcBorders>
            <w:shd w:val="clear" w:color="000000" w:fill="FFFFFF"/>
            <w:vAlign w:val="center"/>
            <w:hideMark/>
          </w:tcPr>
          <w:p w:rsidR="00E567A3" w:rsidRPr="00E567A3" w:rsidRDefault="00D24B71" w:rsidP="00E21CCC">
            <w:pPr>
              <w:jc w:val="center"/>
              <w:rPr>
                <w:sz w:val="18"/>
                <w:szCs w:val="18"/>
              </w:rPr>
            </w:pPr>
            <w:r>
              <w:rPr>
                <w:sz w:val="18"/>
                <w:szCs w:val="18"/>
              </w:rPr>
              <w:t>78,1</w:t>
            </w:r>
          </w:p>
        </w:tc>
        <w:tc>
          <w:tcPr>
            <w:tcW w:w="1067" w:type="dxa"/>
            <w:tcBorders>
              <w:top w:val="nil"/>
              <w:left w:val="nil"/>
              <w:bottom w:val="single" w:sz="4" w:space="0" w:color="auto"/>
              <w:right w:val="single" w:sz="4" w:space="0" w:color="auto"/>
            </w:tcBorders>
            <w:shd w:val="clear" w:color="000000" w:fill="FFFFFF"/>
            <w:vAlign w:val="center"/>
            <w:hideMark/>
          </w:tcPr>
          <w:p w:rsidR="00E567A3" w:rsidRPr="00E567A3" w:rsidRDefault="008E7ECD" w:rsidP="00E21CCC">
            <w:pPr>
              <w:jc w:val="right"/>
              <w:rPr>
                <w:sz w:val="18"/>
                <w:szCs w:val="18"/>
              </w:rPr>
            </w:pPr>
            <w:r>
              <w:rPr>
                <w:sz w:val="18"/>
                <w:szCs w:val="18"/>
              </w:rPr>
              <w:t>555</w:t>
            </w:r>
            <w:r w:rsidR="00E21CCC">
              <w:rPr>
                <w:sz w:val="18"/>
                <w:szCs w:val="18"/>
              </w:rPr>
              <w:t>.</w:t>
            </w:r>
            <w:r>
              <w:rPr>
                <w:sz w:val="18"/>
                <w:szCs w:val="18"/>
              </w:rPr>
              <w:t>60</w:t>
            </w:r>
            <w:r w:rsidR="00F43CDF">
              <w:rPr>
                <w:sz w:val="18"/>
                <w:szCs w:val="18"/>
              </w:rPr>
              <w:t>6,1</w:t>
            </w:r>
          </w:p>
        </w:tc>
        <w:tc>
          <w:tcPr>
            <w:tcW w:w="1011" w:type="dxa"/>
            <w:tcBorders>
              <w:top w:val="single" w:sz="4" w:space="0" w:color="auto"/>
              <w:left w:val="nil"/>
              <w:bottom w:val="single" w:sz="4" w:space="0" w:color="auto"/>
              <w:right w:val="single" w:sz="4" w:space="0" w:color="auto"/>
            </w:tcBorders>
            <w:shd w:val="clear" w:color="000000" w:fill="FFFFFF"/>
            <w:vAlign w:val="center"/>
          </w:tcPr>
          <w:p w:rsidR="00E567A3" w:rsidRPr="00E567A3" w:rsidRDefault="00D24B71" w:rsidP="00E21CCC">
            <w:pPr>
              <w:jc w:val="center"/>
              <w:rPr>
                <w:sz w:val="18"/>
                <w:szCs w:val="18"/>
              </w:rPr>
            </w:pPr>
            <w:r>
              <w:rPr>
                <w:sz w:val="18"/>
                <w:szCs w:val="18"/>
              </w:rPr>
              <w:t>81,5</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567A3" w:rsidRPr="00E567A3" w:rsidRDefault="00D24B71" w:rsidP="00E21CCC">
            <w:pPr>
              <w:jc w:val="center"/>
              <w:rPr>
                <w:sz w:val="18"/>
                <w:szCs w:val="18"/>
              </w:rPr>
            </w:pPr>
            <w:r>
              <w:rPr>
                <w:sz w:val="18"/>
                <w:szCs w:val="18"/>
              </w:rPr>
              <w:t>88,8</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E567A3" w:rsidRPr="00E567A3" w:rsidRDefault="00E21CCC" w:rsidP="00D57ADF">
            <w:pPr>
              <w:jc w:val="right"/>
              <w:rPr>
                <w:sz w:val="18"/>
                <w:szCs w:val="18"/>
              </w:rPr>
            </w:pPr>
            <w:r>
              <w:rPr>
                <w:sz w:val="18"/>
                <w:szCs w:val="18"/>
              </w:rPr>
              <w:t>533.</w:t>
            </w:r>
            <w:r w:rsidR="00525C33">
              <w:rPr>
                <w:sz w:val="18"/>
                <w:szCs w:val="18"/>
              </w:rPr>
              <w:t>366,</w:t>
            </w:r>
            <w:r w:rsidR="00D57ADF">
              <w:rPr>
                <w:sz w:val="18"/>
                <w:szCs w:val="18"/>
              </w:rPr>
              <w:t>7</w:t>
            </w:r>
          </w:p>
        </w:tc>
        <w:tc>
          <w:tcPr>
            <w:tcW w:w="4400" w:type="dxa"/>
            <w:vAlign w:val="center"/>
          </w:tcPr>
          <w:p w:rsidR="00E567A3" w:rsidRPr="00E567A3" w:rsidRDefault="00E567A3" w:rsidP="00FC2D76">
            <w:pPr>
              <w:jc w:val="right"/>
              <w:rPr>
                <w:sz w:val="18"/>
                <w:szCs w:val="18"/>
              </w:rPr>
            </w:pPr>
          </w:p>
        </w:tc>
        <w:tc>
          <w:tcPr>
            <w:tcW w:w="2464" w:type="dxa"/>
          </w:tcPr>
          <w:p w:rsidR="00E567A3" w:rsidRPr="00E567A3" w:rsidRDefault="00E567A3" w:rsidP="00FC2D76">
            <w:pPr>
              <w:jc w:val="right"/>
              <w:rPr>
                <w:sz w:val="18"/>
                <w:szCs w:val="18"/>
              </w:rPr>
            </w:pPr>
          </w:p>
        </w:tc>
        <w:tc>
          <w:tcPr>
            <w:tcW w:w="2464" w:type="dxa"/>
            <w:vAlign w:val="center"/>
          </w:tcPr>
          <w:p w:rsidR="00E567A3" w:rsidRPr="00E567A3" w:rsidRDefault="00E567A3" w:rsidP="00FC2D76">
            <w:pPr>
              <w:jc w:val="right"/>
              <w:rPr>
                <w:sz w:val="18"/>
                <w:szCs w:val="18"/>
              </w:rPr>
            </w:pPr>
          </w:p>
        </w:tc>
      </w:tr>
      <w:tr w:rsidR="00E567A3" w:rsidTr="00454DE6">
        <w:trPr>
          <w:trHeight w:val="570"/>
        </w:trPr>
        <w:tc>
          <w:tcPr>
            <w:tcW w:w="2256" w:type="dxa"/>
            <w:tcBorders>
              <w:top w:val="nil"/>
              <w:left w:val="single" w:sz="4" w:space="0" w:color="auto"/>
              <w:bottom w:val="single" w:sz="4" w:space="0" w:color="auto"/>
              <w:right w:val="single" w:sz="4" w:space="0" w:color="auto"/>
            </w:tcBorders>
            <w:shd w:val="clear" w:color="000000" w:fill="FFFFFF"/>
            <w:vAlign w:val="center"/>
            <w:hideMark/>
          </w:tcPr>
          <w:p w:rsidR="00E567A3" w:rsidRPr="00E567A3" w:rsidRDefault="00E567A3">
            <w:pPr>
              <w:rPr>
                <w:sz w:val="18"/>
                <w:szCs w:val="18"/>
              </w:rPr>
            </w:pPr>
            <w:r w:rsidRPr="00E567A3">
              <w:rPr>
                <w:sz w:val="18"/>
                <w:szCs w:val="18"/>
              </w:rPr>
              <w:t xml:space="preserve">Třída 6 - Kapitálové výdaje </w:t>
            </w:r>
          </w:p>
        </w:tc>
        <w:tc>
          <w:tcPr>
            <w:tcW w:w="992" w:type="dxa"/>
            <w:tcBorders>
              <w:top w:val="nil"/>
              <w:left w:val="nil"/>
              <w:bottom w:val="single" w:sz="4" w:space="0" w:color="auto"/>
              <w:right w:val="single" w:sz="4" w:space="0" w:color="auto"/>
            </w:tcBorders>
            <w:shd w:val="clear" w:color="000000" w:fill="FFFFFF"/>
            <w:vAlign w:val="center"/>
            <w:hideMark/>
          </w:tcPr>
          <w:p w:rsidR="00E567A3" w:rsidRPr="00E567A3" w:rsidRDefault="00E567A3" w:rsidP="00E21CCC">
            <w:pPr>
              <w:jc w:val="right"/>
              <w:rPr>
                <w:sz w:val="18"/>
                <w:szCs w:val="18"/>
              </w:rPr>
            </w:pPr>
            <w:r w:rsidRPr="00E567A3">
              <w:rPr>
                <w:sz w:val="18"/>
                <w:szCs w:val="18"/>
              </w:rPr>
              <w:t>161</w:t>
            </w:r>
            <w:r w:rsidR="00E21CCC">
              <w:rPr>
                <w:sz w:val="18"/>
                <w:szCs w:val="18"/>
              </w:rPr>
              <w:t>.</w:t>
            </w:r>
            <w:r w:rsidRPr="00E567A3">
              <w:rPr>
                <w:sz w:val="18"/>
                <w:szCs w:val="18"/>
              </w:rPr>
              <w:t>507,0</w:t>
            </w:r>
          </w:p>
        </w:tc>
        <w:tc>
          <w:tcPr>
            <w:tcW w:w="900" w:type="dxa"/>
            <w:tcBorders>
              <w:top w:val="nil"/>
              <w:left w:val="nil"/>
              <w:bottom w:val="single" w:sz="4" w:space="0" w:color="auto"/>
              <w:right w:val="single" w:sz="4" w:space="0" w:color="auto"/>
            </w:tcBorders>
            <w:shd w:val="clear" w:color="000000" w:fill="FFFFFF"/>
            <w:vAlign w:val="center"/>
            <w:hideMark/>
          </w:tcPr>
          <w:p w:rsidR="00E567A3" w:rsidRPr="00E567A3" w:rsidRDefault="008E7ECD" w:rsidP="008664C7">
            <w:pPr>
              <w:jc w:val="right"/>
              <w:rPr>
                <w:sz w:val="18"/>
                <w:szCs w:val="18"/>
              </w:rPr>
            </w:pPr>
            <w:r>
              <w:rPr>
                <w:sz w:val="18"/>
                <w:szCs w:val="18"/>
              </w:rPr>
              <w:t>174</w:t>
            </w:r>
            <w:r w:rsidR="008664C7">
              <w:rPr>
                <w:sz w:val="18"/>
                <w:szCs w:val="18"/>
              </w:rPr>
              <w:t>.</w:t>
            </w:r>
            <w:r>
              <w:rPr>
                <w:sz w:val="18"/>
                <w:szCs w:val="18"/>
              </w:rPr>
              <w:t>626,3</w:t>
            </w:r>
          </w:p>
        </w:tc>
        <w:tc>
          <w:tcPr>
            <w:tcW w:w="725" w:type="dxa"/>
            <w:tcBorders>
              <w:top w:val="nil"/>
              <w:left w:val="nil"/>
              <w:bottom w:val="single" w:sz="4" w:space="0" w:color="auto"/>
              <w:right w:val="single" w:sz="4" w:space="0" w:color="auto"/>
            </w:tcBorders>
            <w:shd w:val="clear" w:color="000000" w:fill="FFFFFF"/>
            <w:vAlign w:val="center"/>
            <w:hideMark/>
          </w:tcPr>
          <w:p w:rsidR="00E567A3" w:rsidRPr="00E567A3" w:rsidRDefault="00D24B71" w:rsidP="00E21CCC">
            <w:pPr>
              <w:jc w:val="center"/>
              <w:rPr>
                <w:sz w:val="18"/>
                <w:szCs w:val="18"/>
              </w:rPr>
            </w:pPr>
            <w:r>
              <w:rPr>
                <w:sz w:val="18"/>
                <w:szCs w:val="18"/>
              </w:rPr>
              <w:t>21,9</w:t>
            </w:r>
          </w:p>
        </w:tc>
        <w:tc>
          <w:tcPr>
            <w:tcW w:w="1067" w:type="dxa"/>
            <w:tcBorders>
              <w:top w:val="nil"/>
              <w:left w:val="nil"/>
              <w:bottom w:val="single" w:sz="4" w:space="0" w:color="auto"/>
              <w:right w:val="single" w:sz="4" w:space="0" w:color="auto"/>
            </w:tcBorders>
            <w:shd w:val="clear" w:color="000000" w:fill="FFFFFF"/>
            <w:vAlign w:val="center"/>
            <w:hideMark/>
          </w:tcPr>
          <w:p w:rsidR="00E567A3" w:rsidRPr="00E567A3" w:rsidRDefault="008E7ECD" w:rsidP="008664C7">
            <w:pPr>
              <w:jc w:val="right"/>
              <w:rPr>
                <w:sz w:val="18"/>
                <w:szCs w:val="18"/>
              </w:rPr>
            </w:pPr>
            <w:r>
              <w:rPr>
                <w:sz w:val="18"/>
                <w:szCs w:val="18"/>
              </w:rPr>
              <w:t>125</w:t>
            </w:r>
            <w:r w:rsidR="008664C7">
              <w:rPr>
                <w:sz w:val="18"/>
                <w:szCs w:val="18"/>
              </w:rPr>
              <w:t>.</w:t>
            </w:r>
            <w:r>
              <w:rPr>
                <w:sz w:val="18"/>
                <w:szCs w:val="18"/>
              </w:rPr>
              <w:t>738,</w:t>
            </w:r>
            <w:r w:rsidR="00F43CDF">
              <w:rPr>
                <w:sz w:val="18"/>
                <w:szCs w:val="18"/>
              </w:rPr>
              <w:t>0</w:t>
            </w:r>
          </w:p>
        </w:tc>
        <w:tc>
          <w:tcPr>
            <w:tcW w:w="1011" w:type="dxa"/>
            <w:tcBorders>
              <w:top w:val="nil"/>
              <w:left w:val="nil"/>
              <w:bottom w:val="single" w:sz="4" w:space="0" w:color="auto"/>
              <w:right w:val="single" w:sz="4" w:space="0" w:color="auto"/>
            </w:tcBorders>
            <w:shd w:val="clear" w:color="000000" w:fill="FFFFFF"/>
            <w:vAlign w:val="center"/>
          </w:tcPr>
          <w:p w:rsidR="00E567A3" w:rsidRPr="00E567A3" w:rsidRDefault="00D24B71" w:rsidP="00E21CCC">
            <w:pPr>
              <w:jc w:val="center"/>
              <w:rPr>
                <w:sz w:val="18"/>
                <w:szCs w:val="18"/>
              </w:rPr>
            </w:pPr>
            <w:r>
              <w:rPr>
                <w:sz w:val="18"/>
                <w:szCs w:val="18"/>
              </w:rPr>
              <w:t>18,5</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E567A3" w:rsidRPr="00E567A3" w:rsidRDefault="00D24B71" w:rsidP="00E21CCC">
            <w:pPr>
              <w:jc w:val="center"/>
              <w:rPr>
                <w:sz w:val="18"/>
                <w:szCs w:val="18"/>
              </w:rPr>
            </w:pPr>
            <w:r>
              <w:rPr>
                <w:sz w:val="18"/>
                <w:szCs w:val="18"/>
              </w:rPr>
              <w:t>72,0</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E567A3" w:rsidRPr="00E567A3" w:rsidRDefault="00525C33" w:rsidP="008664C7">
            <w:pPr>
              <w:jc w:val="right"/>
              <w:rPr>
                <w:sz w:val="18"/>
                <w:szCs w:val="18"/>
              </w:rPr>
            </w:pPr>
            <w:r>
              <w:rPr>
                <w:sz w:val="18"/>
                <w:szCs w:val="18"/>
              </w:rPr>
              <w:t>59</w:t>
            </w:r>
            <w:r w:rsidR="008664C7">
              <w:rPr>
                <w:sz w:val="18"/>
                <w:szCs w:val="18"/>
              </w:rPr>
              <w:t>.</w:t>
            </w:r>
            <w:r>
              <w:rPr>
                <w:sz w:val="18"/>
                <w:szCs w:val="18"/>
              </w:rPr>
              <w:t>589,7</w:t>
            </w:r>
          </w:p>
        </w:tc>
        <w:tc>
          <w:tcPr>
            <w:tcW w:w="4400" w:type="dxa"/>
            <w:vAlign w:val="center"/>
          </w:tcPr>
          <w:p w:rsidR="00E567A3" w:rsidRPr="00E567A3" w:rsidRDefault="00E567A3" w:rsidP="00FC2D76">
            <w:pPr>
              <w:jc w:val="right"/>
              <w:rPr>
                <w:sz w:val="18"/>
                <w:szCs w:val="18"/>
              </w:rPr>
            </w:pPr>
          </w:p>
        </w:tc>
        <w:tc>
          <w:tcPr>
            <w:tcW w:w="2464" w:type="dxa"/>
          </w:tcPr>
          <w:p w:rsidR="00E567A3" w:rsidRPr="00E567A3" w:rsidRDefault="00E567A3" w:rsidP="00FC2D76">
            <w:pPr>
              <w:jc w:val="right"/>
              <w:rPr>
                <w:sz w:val="18"/>
                <w:szCs w:val="18"/>
              </w:rPr>
            </w:pPr>
          </w:p>
        </w:tc>
        <w:tc>
          <w:tcPr>
            <w:tcW w:w="2464" w:type="dxa"/>
            <w:vAlign w:val="center"/>
          </w:tcPr>
          <w:p w:rsidR="00E567A3" w:rsidRPr="00E567A3" w:rsidRDefault="00E567A3" w:rsidP="00FC2D76">
            <w:pPr>
              <w:jc w:val="right"/>
              <w:rPr>
                <w:sz w:val="18"/>
                <w:szCs w:val="18"/>
              </w:rPr>
            </w:pPr>
          </w:p>
        </w:tc>
      </w:tr>
      <w:tr w:rsidR="00E567A3" w:rsidTr="005E2BA1">
        <w:trPr>
          <w:trHeight w:val="720"/>
        </w:trPr>
        <w:tc>
          <w:tcPr>
            <w:tcW w:w="2256" w:type="dxa"/>
            <w:tcBorders>
              <w:top w:val="nil"/>
              <w:left w:val="single" w:sz="4" w:space="0" w:color="auto"/>
              <w:bottom w:val="single" w:sz="4" w:space="0" w:color="auto"/>
              <w:right w:val="single" w:sz="4" w:space="0" w:color="auto"/>
            </w:tcBorders>
            <w:shd w:val="clear" w:color="auto" w:fill="EEECE1"/>
            <w:vAlign w:val="center"/>
            <w:hideMark/>
          </w:tcPr>
          <w:p w:rsidR="00E567A3" w:rsidRPr="00E567A3" w:rsidRDefault="00E567A3">
            <w:pPr>
              <w:rPr>
                <w:b/>
                <w:bCs/>
                <w:sz w:val="18"/>
                <w:szCs w:val="18"/>
              </w:rPr>
            </w:pPr>
            <w:r w:rsidRPr="00E567A3">
              <w:rPr>
                <w:b/>
                <w:bCs/>
                <w:sz w:val="18"/>
                <w:szCs w:val="18"/>
              </w:rPr>
              <w:t>Výdaje celkem</w:t>
            </w:r>
          </w:p>
        </w:tc>
        <w:tc>
          <w:tcPr>
            <w:tcW w:w="992" w:type="dxa"/>
            <w:tcBorders>
              <w:top w:val="nil"/>
              <w:left w:val="nil"/>
              <w:bottom w:val="single" w:sz="4" w:space="0" w:color="auto"/>
              <w:right w:val="single" w:sz="4" w:space="0" w:color="auto"/>
            </w:tcBorders>
            <w:shd w:val="clear" w:color="auto" w:fill="EEECE1"/>
            <w:vAlign w:val="center"/>
            <w:hideMark/>
          </w:tcPr>
          <w:p w:rsidR="00E567A3" w:rsidRPr="00E567A3" w:rsidRDefault="00E567A3" w:rsidP="008664C7">
            <w:pPr>
              <w:jc w:val="right"/>
              <w:rPr>
                <w:b/>
                <w:bCs/>
                <w:sz w:val="18"/>
                <w:szCs w:val="18"/>
              </w:rPr>
            </w:pPr>
            <w:r w:rsidRPr="00E567A3">
              <w:rPr>
                <w:b/>
                <w:bCs/>
                <w:sz w:val="18"/>
                <w:szCs w:val="18"/>
              </w:rPr>
              <w:t>712</w:t>
            </w:r>
            <w:r w:rsidR="008664C7">
              <w:rPr>
                <w:b/>
                <w:bCs/>
                <w:sz w:val="18"/>
                <w:szCs w:val="18"/>
              </w:rPr>
              <w:t>.</w:t>
            </w:r>
            <w:r w:rsidRPr="00E567A3">
              <w:rPr>
                <w:b/>
                <w:bCs/>
                <w:sz w:val="18"/>
                <w:szCs w:val="18"/>
              </w:rPr>
              <w:t>458,3</w:t>
            </w:r>
          </w:p>
        </w:tc>
        <w:tc>
          <w:tcPr>
            <w:tcW w:w="900" w:type="dxa"/>
            <w:tcBorders>
              <w:top w:val="nil"/>
              <w:left w:val="nil"/>
              <w:bottom w:val="single" w:sz="4" w:space="0" w:color="auto"/>
              <w:right w:val="single" w:sz="4" w:space="0" w:color="auto"/>
            </w:tcBorders>
            <w:shd w:val="clear" w:color="auto" w:fill="EEECE1"/>
            <w:vAlign w:val="center"/>
            <w:hideMark/>
          </w:tcPr>
          <w:p w:rsidR="00E567A3" w:rsidRPr="00E567A3" w:rsidRDefault="00DB055E" w:rsidP="008664C7">
            <w:pPr>
              <w:jc w:val="right"/>
              <w:rPr>
                <w:b/>
                <w:bCs/>
                <w:sz w:val="18"/>
                <w:szCs w:val="18"/>
              </w:rPr>
            </w:pPr>
            <w:r>
              <w:rPr>
                <w:b/>
                <w:bCs/>
                <w:sz w:val="18"/>
                <w:szCs w:val="18"/>
              </w:rPr>
              <w:t>799</w:t>
            </w:r>
            <w:r w:rsidR="008664C7">
              <w:rPr>
                <w:b/>
                <w:bCs/>
                <w:sz w:val="18"/>
                <w:szCs w:val="18"/>
              </w:rPr>
              <w:t>.</w:t>
            </w:r>
            <w:r>
              <w:rPr>
                <w:b/>
                <w:bCs/>
                <w:sz w:val="18"/>
                <w:szCs w:val="18"/>
              </w:rPr>
              <w:t>961,0</w:t>
            </w:r>
          </w:p>
        </w:tc>
        <w:tc>
          <w:tcPr>
            <w:tcW w:w="725" w:type="dxa"/>
            <w:tcBorders>
              <w:top w:val="nil"/>
              <w:left w:val="nil"/>
              <w:bottom w:val="single" w:sz="4" w:space="0" w:color="auto"/>
              <w:right w:val="single" w:sz="4" w:space="0" w:color="auto"/>
            </w:tcBorders>
            <w:shd w:val="clear" w:color="auto" w:fill="EEECE1"/>
            <w:vAlign w:val="center"/>
            <w:hideMark/>
          </w:tcPr>
          <w:p w:rsidR="00E567A3" w:rsidRPr="00E567A3" w:rsidRDefault="00E567A3" w:rsidP="00E21CCC">
            <w:pPr>
              <w:jc w:val="center"/>
              <w:rPr>
                <w:b/>
                <w:bCs/>
                <w:sz w:val="18"/>
                <w:szCs w:val="18"/>
              </w:rPr>
            </w:pPr>
            <w:r w:rsidRPr="00E567A3">
              <w:rPr>
                <w:b/>
                <w:bCs/>
                <w:sz w:val="18"/>
                <w:szCs w:val="18"/>
              </w:rPr>
              <w:t>100,0</w:t>
            </w:r>
          </w:p>
        </w:tc>
        <w:tc>
          <w:tcPr>
            <w:tcW w:w="1067" w:type="dxa"/>
            <w:tcBorders>
              <w:top w:val="nil"/>
              <w:left w:val="nil"/>
              <w:bottom w:val="single" w:sz="4" w:space="0" w:color="auto"/>
              <w:right w:val="single" w:sz="4" w:space="0" w:color="auto"/>
            </w:tcBorders>
            <w:shd w:val="clear" w:color="auto" w:fill="EEECE1"/>
            <w:vAlign w:val="center"/>
            <w:hideMark/>
          </w:tcPr>
          <w:p w:rsidR="00E567A3" w:rsidRPr="00E567A3" w:rsidRDefault="00E567A3" w:rsidP="008664C7">
            <w:pPr>
              <w:jc w:val="right"/>
              <w:rPr>
                <w:b/>
                <w:bCs/>
                <w:sz w:val="18"/>
                <w:szCs w:val="18"/>
              </w:rPr>
            </w:pPr>
            <w:r w:rsidRPr="00E567A3">
              <w:rPr>
                <w:b/>
                <w:bCs/>
                <w:sz w:val="18"/>
                <w:szCs w:val="18"/>
              </w:rPr>
              <w:t>681</w:t>
            </w:r>
            <w:r w:rsidR="008664C7">
              <w:rPr>
                <w:b/>
                <w:bCs/>
                <w:sz w:val="18"/>
                <w:szCs w:val="18"/>
              </w:rPr>
              <w:t>.</w:t>
            </w:r>
            <w:r w:rsidRPr="00E567A3">
              <w:rPr>
                <w:b/>
                <w:bCs/>
                <w:sz w:val="18"/>
                <w:szCs w:val="18"/>
              </w:rPr>
              <w:t>344,1</w:t>
            </w:r>
          </w:p>
        </w:tc>
        <w:tc>
          <w:tcPr>
            <w:tcW w:w="1011" w:type="dxa"/>
            <w:tcBorders>
              <w:top w:val="nil"/>
              <w:left w:val="nil"/>
              <w:bottom w:val="single" w:sz="4" w:space="0" w:color="auto"/>
              <w:right w:val="single" w:sz="4" w:space="0" w:color="auto"/>
            </w:tcBorders>
            <w:shd w:val="clear" w:color="auto" w:fill="EEECE1"/>
            <w:vAlign w:val="center"/>
          </w:tcPr>
          <w:p w:rsidR="00E567A3" w:rsidRPr="00E567A3" w:rsidRDefault="00E567A3" w:rsidP="00E21CCC">
            <w:pPr>
              <w:jc w:val="center"/>
              <w:rPr>
                <w:b/>
                <w:bCs/>
                <w:sz w:val="18"/>
                <w:szCs w:val="18"/>
              </w:rPr>
            </w:pPr>
            <w:r w:rsidRPr="00E567A3">
              <w:rPr>
                <w:b/>
                <w:bCs/>
                <w:sz w:val="18"/>
                <w:szCs w:val="18"/>
              </w:rPr>
              <w:t>100,0</w:t>
            </w:r>
          </w:p>
        </w:tc>
        <w:tc>
          <w:tcPr>
            <w:tcW w:w="992" w:type="dxa"/>
            <w:tcBorders>
              <w:top w:val="nil"/>
              <w:left w:val="single" w:sz="4" w:space="0" w:color="auto"/>
              <w:bottom w:val="single" w:sz="4" w:space="0" w:color="auto"/>
              <w:right w:val="single" w:sz="4" w:space="0" w:color="auto"/>
            </w:tcBorders>
            <w:shd w:val="clear" w:color="auto" w:fill="EEECE1"/>
            <w:vAlign w:val="center"/>
          </w:tcPr>
          <w:p w:rsidR="00E567A3" w:rsidRPr="00E567A3" w:rsidRDefault="00D24B71" w:rsidP="00E21CCC">
            <w:pPr>
              <w:jc w:val="center"/>
              <w:rPr>
                <w:b/>
                <w:bCs/>
                <w:sz w:val="18"/>
                <w:szCs w:val="18"/>
              </w:rPr>
            </w:pPr>
            <w:r>
              <w:rPr>
                <w:b/>
                <w:bCs/>
                <w:sz w:val="18"/>
                <w:szCs w:val="18"/>
              </w:rPr>
              <w:t>85,2</w:t>
            </w:r>
          </w:p>
        </w:tc>
        <w:tc>
          <w:tcPr>
            <w:tcW w:w="1134" w:type="dxa"/>
            <w:tcBorders>
              <w:top w:val="nil"/>
              <w:left w:val="single" w:sz="4" w:space="0" w:color="auto"/>
              <w:bottom w:val="single" w:sz="4" w:space="0" w:color="auto"/>
              <w:right w:val="single" w:sz="4" w:space="0" w:color="auto"/>
            </w:tcBorders>
            <w:shd w:val="clear" w:color="auto" w:fill="EEECE1"/>
            <w:vAlign w:val="center"/>
            <w:hideMark/>
          </w:tcPr>
          <w:p w:rsidR="00E567A3" w:rsidRPr="00E567A3" w:rsidRDefault="008664C7" w:rsidP="00D57ADF">
            <w:pPr>
              <w:jc w:val="right"/>
              <w:rPr>
                <w:b/>
                <w:bCs/>
                <w:sz w:val="18"/>
                <w:szCs w:val="18"/>
              </w:rPr>
            </w:pPr>
            <w:r>
              <w:rPr>
                <w:b/>
                <w:bCs/>
                <w:sz w:val="18"/>
                <w:szCs w:val="18"/>
              </w:rPr>
              <w:t>592.</w:t>
            </w:r>
            <w:r w:rsidR="00525C33">
              <w:rPr>
                <w:b/>
                <w:bCs/>
                <w:sz w:val="18"/>
                <w:szCs w:val="18"/>
              </w:rPr>
              <w:t>956,</w:t>
            </w:r>
            <w:r w:rsidR="00D57ADF">
              <w:rPr>
                <w:b/>
                <w:bCs/>
                <w:sz w:val="18"/>
                <w:szCs w:val="18"/>
              </w:rPr>
              <w:t>4</w:t>
            </w:r>
          </w:p>
        </w:tc>
        <w:tc>
          <w:tcPr>
            <w:tcW w:w="4400" w:type="dxa"/>
            <w:vAlign w:val="center"/>
          </w:tcPr>
          <w:p w:rsidR="00E567A3" w:rsidRPr="00E567A3" w:rsidRDefault="00E567A3" w:rsidP="00FC2D76">
            <w:pPr>
              <w:jc w:val="right"/>
              <w:rPr>
                <w:b/>
                <w:bCs/>
                <w:sz w:val="18"/>
                <w:szCs w:val="18"/>
              </w:rPr>
            </w:pPr>
          </w:p>
        </w:tc>
        <w:tc>
          <w:tcPr>
            <w:tcW w:w="2464" w:type="dxa"/>
          </w:tcPr>
          <w:p w:rsidR="00E567A3" w:rsidRPr="00E567A3" w:rsidRDefault="00E567A3" w:rsidP="00FC2D76">
            <w:pPr>
              <w:jc w:val="right"/>
              <w:rPr>
                <w:b/>
                <w:bCs/>
                <w:sz w:val="18"/>
                <w:szCs w:val="18"/>
              </w:rPr>
            </w:pPr>
          </w:p>
        </w:tc>
        <w:tc>
          <w:tcPr>
            <w:tcW w:w="2464" w:type="dxa"/>
            <w:vAlign w:val="center"/>
          </w:tcPr>
          <w:p w:rsidR="00E567A3" w:rsidRPr="00E567A3" w:rsidRDefault="00E567A3" w:rsidP="00FC2D76">
            <w:pPr>
              <w:jc w:val="right"/>
              <w:rPr>
                <w:b/>
                <w:bCs/>
                <w:sz w:val="18"/>
                <w:szCs w:val="18"/>
              </w:rPr>
            </w:pPr>
          </w:p>
        </w:tc>
      </w:tr>
    </w:tbl>
    <w:p w:rsidR="001418DB" w:rsidRDefault="001418DB" w:rsidP="000670D6">
      <w:pPr>
        <w:jc w:val="both"/>
        <w:rPr>
          <w:b/>
          <w:i/>
          <w:noProof/>
          <w:sz w:val="22"/>
          <w:szCs w:val="22"/>
        </w:rPr>
      </w:pPr>
    </w:p>
    <w:p w:rsidR="001A25B7" w:rsidRPr="00DB3248" w:rsidRDefault="000670D6" w:rsidP="00647A7A">
      <w:pPr>
        <w:jc w:val="both"/>
        <w:rPr>
          <w:sz w:val="22"/>
          <w:szCs w:val="22"/>
        </w:rPr>
      </w:pPr>
      <w:r w:rsidRPr="008316DD">
        <w:rPr>
          <w:sz w:val="22"/>
          <w:szCs w:val="22"/>
        </w:rPr>
        <w:lastRenderedPageBreak/>
        <w:t>Přehled o plnění investičního programu roku 201</w:t>
      </w:r>
      <w:r w:rsidR="008316DD" w:rsidRPr="008316DD">
        <w:rPr>
          <w:sz w:val="22"/>
          <w:szCs w:val="22"/>
        </w:rPr>
        <w:t>3</w:t>
      </w:r>
      <w:r w:rsidRPr="008316DD">
        <w:rPr>
          <w:sz w:val="22"/>
          <w:szCs w:val="22"/>
        </w:rPr>
        <w:t xml:space="preserve"> je uveden v příloze č. </w:t>
      </w:r>
      <w:r w:rsidR="001C1568">
        <w:rPr>
          <w:sz w:val="22"/>
          <w:szCs w:val="22"/>
        </w:rPr>
        <w:t>4</w:t>
      </w:r>
      <w:r w:rsidRPr="008316DD">
        <w:rPr>
          <w:sz w:val="22"/>
          <w:szCs w:val="22"/>
        </w:rPr>
        <w:t xml:space="preserve">, podle jednotlivých </w:t>
      </w:r>
      <w:r w:rsidR="00626A02" w:rsidRPr="008316DD">
        <w:rPr>
          <w:sz w:val="22"/>
          <w:szCs w:val="22"/>
        </w:rPr>
        <w:t>pod</w:t>
      </w:r>
      <w:r w:rsidRPr="008316DD">
        <w:rPr>
          <w:sz w:val="22"/>
          <w:szCs w:val="22"/>
        </w:rPr>
        <w:t>k</w:t>
      </w:r>
      <w:r w:rsidRPr="008316DD">
        <w:rPr>
          <w:sz w:val="22"/>
          <w:szCs w:val="22"/>
        </w:rPr>
        <w:t>a</w:t>
      </w:r>
      <w:r w:rsidRPr="008316DD">
        <w:rPr>
          <w:sz w:val="22"/>
          <w:szCs w:val="22"/>
        </w:rPr>
        <w:t xml:space="preserve">pitol rozpočtu, s uvedením </w:t>
      </w:r>
      <w:r w:rsidR="00900377" w:rsidRPr="008316DD">
        <w:rPr>
          <w:sz w:val="22"/>
          <w:szCs w:val="22"/>
        </w:rPr>
        <w:t>realizovaných</w:t>
      </w:r>
      <w:r w:rsidRPr="008316DD">
        <w:rPr>
          <w:sz w:val="22"/>
          <w:szCs w:val="22"/>
        </w:rPr>
        <w:t xml:space="preserve"> investičních projektů. </w:t>
      </w:r>
    </w:p>
    <w:tbl>
      <w:tblPr>
        <w:tblW w:w="0" w:type="auto"/>
        <w:tblLayout w:type="fixed"/>
        <w:tblCellMar>
          <w:left w:w="30" w:type="dxa"/>
          <w:right w:w="30" w:type="dxa"/>
        </w:tblCellMar>
        <w:tblLook w:val="0000"/>
      </w:tblPr>
      <w:tblGrid>
        <w:gridCol w:w="934"/>
        <w:gridCol w:w="1207"/>
        <w:gridCol w:w="1207"/>
        <w:gridCol w:w="935"/>
        <w:gridCol w:w="1276"/>
        <w:gridCol w:w="1134"/>
        <w:gridCol w:w="1134"/>
        <w:gridCol w:w="1275"/>
      </w:tblGrid>
      <w:tr w:rsidR="00322090" w:rsidRPr="005E2BA1" w:rsidTr="005E2BA1">
        <w:trPr>
          <w:trHeight w:val="545"/>
        </w:trPr>
        <w:tc>
          <w:tcPr>
            <w:tcW w:w="7827" w:type="dxa"/>
            <w:gridSpan w:val="7"/>
            <w:tcBorders>
              <w:bottom w:val="single" w:sz="4" w:space="0" w:color="auto"/>
            </w:tcBorders>
          </w:tcPr>
          <w:p w:rsidR="00123347" w:rsidRDefault="00123347" w:rsidP="00123347">
            <w:pPr>
              <w:autoSpaceDE w:val="0"/>
              <w:autoSpaceDN w:val="0"/>
              <w:adjustRightInd w:val="0"/>
              <w:rPr>
                <w:rFonts w:cs="Arial"/>
                <w:b/>
                <w:bCs/>
                <w:color w:val="000000"/>
                <w:sz w:val="22"/>
                <w:szCs w:val="22"/>
              </w:rPr>
            </w:pPr>
          </w:p>
          <w:p w:rsidR="00123347" w:rsidRDefault="00322090" w:rsidP="00123347">
            <w:pPr>
              <w:autoSpaceDE w:val="0"/>
              <w:autoSpaceDN w:val="0"/>
              <w:adjustRightInd w:val="0"/>
              <w:rPr>
                <w:rFonts w:cs="Arial"/>
                <w:b/>
                <w:bCs/>
                <w:color w:val="000000"/>
                <w:sz w:val="22"/>
                <w:szCs w:val="22"/>
              </w:rPr>
            </w:pPr>
            <w:r w:rsidRPr="005E2BA1">
              <w:rPr>
                <w:rFonts w:cs="Arial"/>
                <w:b/>
                <w:bCs/>
                <w:color w:val="000000"/>
                <w:sz w:val="22"/>
                <w:szCs w:val="22"/>
              </w:rPr>
              <w:t xml:space="preserve">Přehled celkových výdajů městské části dle jednotlivých kapitol </w:t>
            </w:r>
          </w:p>
          <w:p w:rsidR="00322090" w:rsidRPr="005E2BA1" w:rsidRDefault="006F7B92" w:rsidP="00123347">
            <w:pPr>
              <w:autoSpaceDE w:val="0"/>
              <w:autoSpaceDN w:val="0"/>
              <w:adjustRightInd w:val="0"/>
              <w:rPr>
                <w:rFonts w:cs="Arial"/>
                <w:b/>
                <w:bCs/>
                <w:color w:val="000000"/>
                <w:sz w:val="22"/>
                <w:szCs w:val="22"/>
              </w:rPr>
            </w:pPr>
            <w:r>
              <w:rPr>
                <w:rFonts w:cs="Arial"/>
                <w:b/>
                <w:bCs/>
                <w:color w:val="000000"/>
                <w:sz w:val="22"/>
                <w:szCs w:val="22"/>
              </w:rPr>
              <w:t>a porovnání sk</w:t>
            </w:r>
            <w:r w:rsidR="00123347">
              <w:rPr>
                <w:rFonts w:cs="Arial"/>
                <w:b/>
                <w:bCs/>
                <w:color w:val="000000"/>
                <w:sz w:val="22"/>
                <w:szCs w:val="22"/>
              </w:rPr>
              <w:t>u</w:t>
            </w:r>
            <w:r>
              <w:rPr>
                <w:rFonts w:cs="Arial"/>
                <w:b/>
                <w:bCs/>
                <w:color w:val="000000"/>
                <w:sz w:val="22"/>
                <w:szCs w:val="22"/>
              </w:rPr>
              <w:t xml:space="preserve">tečnosti s rokem 2012 </w:t>
            </w:r>
            <w:r w:rsidR="00322090" w:rsidRPr="005E2BA1">
              <w:rPr>
                <w:rFonts w:cs="Arial"/>
                <w:b/>
                <w:bCs/>
                <w:color w:val="000000"/>
                <w:sz w:val="22"/>
                <w:szCs w:val="22"/>
              </w:rPr>
              <w:t xml:space="preserve">(v </w:t>
            </w:r>
            <w:r w:rsidR="005E1108">
              <w:rPr>
                <w:rFonts w:cs="Arial"/>
                <w:b/>
                <w:bCs/>
                <w:color w:val="000000"/>
                <w:sz w:val="22"/>
                <w:szCs w:val="22"/>
              </w:rPr>
              <w:t>tis. Kč</w:t>
            </w:r>
            <w:r w:rsidR="00322090" w:rsidRPr="005E2BA1">
              <w:rPr>
                <w:rFonts w:cs="Arial"/>
                <w:b/>
                <w:bCs/>
                <w:color w:val="000000"/>
                <w:sz w:val="22"/>
                <w:szCs w:val="22"/>
              </w:rPr>
              <w:t>)</w:t>
            </w:r>
          </w:p>
        </w:tc>
        <w:tc>
          <w:tcPr>
            <w:tcW w:w="1275" w:type="dxa"/>
            <w:tcBorders>
              <w:bottom w:val="single" w:sz="4" w:space="0" w:color="auto"/>
            </w:tcBorders>
          </w:tcPr>
          <w:p w:rsidR="00322090" w:rsidRPr="005E2BA1" w:rsidRDefault="00322090" w:rsidP="00123347">
            <w:pPr>
              <w:autoSpaceDE w:val="0"/>
              <w:autoSpaceDN w:val="0"/>
              <w:adjustRightInd w:val="0"/>
              <w:jc w:val="center"/>
              <w:rPr>
                <w:rFonts w:cs="Arial"/>
                <w:color w:val="000000"/>
                <w:sz w:val="22"/>
                <w:szCs w:val="22"/>
              </w:rPr>
            </w:pPr>
          </w:p>
        </w:tc>
      </w:tr>
      <w:tr w:rsidR="0081055F" w:rsidRPr="005E2BA1" w:rsidTr="005E2BA1">
        <w:trPr>
          <w:trHeight w:val="902"/>
        </w:trPr>
        <w:tc>
          <w:tcPr>
            <w:tcW w:w="934" w:type="dxa"/>
            <w:tcBorders>
              <w:top w:val="single" w:sz="4" w:space="0" w:color="auto"/>
              <w:left w:val="single" w:sz="6" w:space="0" w:color="auto"/>
              <w:bottom w:val="single" w:sz="4" w:space="0" w:color="auto"/>
              <w:right w:val="single" w:sz="6" w:space="0" w:color="auto"/>
            </w:tcBorders>
            <w:shd w:val="clear" w:color="auto" w:fill="EEECE1"/>
            <w:vAlign w:val="center"/>
          </w:tcPr>
          <w:p w:rsidR="0081055F" w:rsidRPr="00CD417C" w:rsidRDefault="00123347" w:rsidP="00123771">
            <w:pPr>
              <w:autoSpaceDE w:val="0"/>
              <w:autoSpaceDN w:val="0"/>
              <w:adjustRightInd w:val="0"/>
              <w:jc w:val="center"/>
              <w:rPr>
                <w:b/>
                <w:bCs/>
                <w:color w:val="000000"/>
                <w:sz w:val="20"/>
                <w:szCs w:val="20"/>
              </w:rPr>
            </w:pPr>
            <w:r>
              <w:rPr>
                <w:b/>
                <w:bCs/>
                <w:color w:val="000000"/>
                <w:sz w:val="20"/>
                <w:szCs w:val="20"/>
              </w:rPr>
              <w:t>K</w:t>
            </w:r>
            <w:r w:rsidR="0081055F" w:rsidRPr="00CD417C">
              <w:rPr>
                <w:b/>
                <w:bCs/>
                <w:color w:val="000000"/>
                <w:sz w:val="20"/>
                <w:szCs w:val="20"/>
              </w:rPr>
              <w:t xml:space="preserve">apitola </w:t>
            </w:r>
          </w:p>
        </w:tc>
        <w:tc>
          <w:tcPr>
            <w:tcW w:w="1207" w:type="dxa"/>
            <w:tcBorders>
              <w:top w:val="single" w:sz="4" w:space="0" w:color="auto"/>
              <w:left w:val="single" w:sz="6" w:space="0" w:color="auto"/>
              <w:bottom w:val="single" w:sz="4" w:space="0" w:color="auto"/>
              <w:right w:val="single" w:sz="6" w:space="0" w:color="auto"/>
            </w:tcBorders>
            <w:shd w:val="clear" w:color="auto" w:fill="EEECE1"/>
            <w:vAlign w:val="center"/>
          </w:tcPr>
          <w:p w:rsidR="0081055F" w:rsidRPr="00CD417C" w:rsidRDefault="0081055F" w:rsidP="00123771">
            <w:pPr>
              <w:autoSpaceDE w:val="0"/>
              <w:autoSpaceDN w:val="0"/>
              <w:adjustRightInd w:val="0"/>
              <w:jc w:val="center"/>
              <w:rPr>
                <w:b/>
                <w:bCs/>
                <w:color w:val="000000"/>
                <w:sz w:val="20"/>
                <w:szCs w:val="20"/>
              </w:rPr>
            </w:pPr>
            <w:r w:rsidRPr="00CD417C">
              <w:rPr>
                <w:b/>
                <w:bCs/>
                <w:color w:val="000000"/>
                <w:sz w:val="20"/>
                <w:szCs w:val="20"/>
              </w:rPr>
              <w:t>Schválený rozpočet 2013</w:t>
            </w:r>
          </w:p>
        </w:tc>
        <w:tc>
          <w:tcPr>
            <w:tcW w:w="1207" w:type="dxa"/>
            <w:tcBorders>
              <w:top w:val="single" w:sz="4" w:space="0" w:color="auto"/>
              <w:left w:val="single" w:sz="6" w:space="0" w:color="auto"/>
              <w:bottom w:val="single" w:sz="4" w:space="0" w:color="auto"/>
              <w:right w:val="single" w:sz="6" w:space="0" w:color="auto"/>
            </w:tcBorders>
            <w:shd w:val="clear" w:color="auto" w:fill="EEECE1"/>
            <w:vAlign w:val="center"/>
          </w:tcPr>
          <w:p w:rsidR="0081055F" w:rsidRPr="00CD417C" w:rsidRDefault="0081055F" w:rsidP="00123771">
            <w:pPr>
              <w:autoSpaceDE w:val="0"/>
              <w:autoSpaceDN w:val="0"/>
              <w:adjustRightInd w:val="0"/>
              <w:jc w:val="center"/>
              <w:rPr>
                <w:b/>
                <w:bCs/>
                <w:color w:val="000000"/>
                <w:sz w:val="20"/>
                <w:szCs w:val="20"/>
              </w:rPr>
            </w:pPr>
            <w:r w:rsidRPr="00CD417C">
              <w:rPr>
                <w:b/>
                <w:bCs/>
                <w:color w:val="000000"/>
                <w:sz w:val="20"/>
                <w:szCs w:val="20"/>
              </w:rPr>
              <w:t>Upravený rozpočet 2013</w:t>
            </w:r>
          </w:p>
        </w:tc>
        <w:tc>
          <w:tcPr>
            <w:tcW w:w="935" w:type="dxa"/>
            <w:tcBorders>
              <w:top w:val="single" w:sz="4" w:space="0" w:color="auto"/>
              <w:left w:val="single" w:sz="6" w:space="0" w:color="auto"/>
              <w:bottom w:val="single" w:sz="4" w:space="0" w:color="auto"/>
              <w:right w:val="single" w:sz="6" w:space="0" w:color="auto"/>
            </w:tcBorders>
            <w:shd w:val="clear" w:color="auto" w:fill="EEECE1"/>
            <w:vAlign w:val="center"/>
          </w:tcPr>
          <w:p w:rsidR="0081055F" w:rsidRPr="00CD417C" w:rsidRDefault="0081055F" w:rsidP="00322090">
            <w:pPr>
              <w:autoSpaceDE w:val="0"/>
              <w:autoSpaceDN w:val="0"/>
              <w:adjustRightInd w:val="0"/>
              <w:jc w:val="center"/>
              <w:rPr>
                <w:b/>
                <w:bCs/>
                <w:color w:val="000000"/>
                <w:sz w:val="20"/>
                <w:szCs w:val="20"/>
              </w:rPr>
            </w:pPr>
            <w:r w:rsidRPr="00CD417C">
              <w:rPr>
                <w:b/>
                <w:bCs/>
                <w:color w:val="000000"/>
                <w:sz w:val="20"/>
                <w:szCs w:val="20"/>
              </w:rPr>
              <w:t>UR % z celku</w:t>
            </w:r>
          </w:p>
        </w:tc>
        <w:tc>
          <w:tcPr>
            <w:tcW w:w="1276" w:type="dxa"/>
            <w:tcBorders>
              <w:top w:val="single" w:sz="4" w:space="0" w:color="auto"/>
              <w:left w:val="single" w:sz="6" w:space="0" w:color="auto"/>
              <w:bottom w:val="single" w:sz="4" w:space="0" w:color="auto"/>
              <w:right w:val="single" w:sz="6" w:space="0" w:color="auto"/>
            </w:tcBorders>
            <w:shd w:val="clear" w:color="auto" w:fill="EEECE1"/>
            <w:vAlign w:val="center"/>
          </w:tcPr>
          <w:p w:rsidR="0081055F" w:rsidRPr="00CD417C" w:rsidRDefault="0081055F" w:rsidP="00322090">
            <w:pPr>
              <w:autoSpaceDE w:val="0"/>
              <w:autoSpaceDN w:val="0"/>
              <w:adjustRightInd w:val="0"/>
              <w:jc w:val="center"/>
              <w:rPr>
                <w:b/>
                <w:bCs/>
                <w:color w:val="000000"/>
                <w:sz w:val="20"/>
                <w:szCs w:val="20"/>
              </w:rPr>
            </w:pPr>
            <w:r w:rsidRPr="00CD417C">
              <w:rPr>
                <w:b/>
                <w:bCs/>
                <w:color w:val="000000"/>
                <w:sz w:val="20"/>
                <w:szCs w:val="20"/>
              </w:rPr>
              <w:t>Skutečnost k 31.12.2013</w:t>
            </w:r>
          </w:p>
        </w:tc>
        <w:tc>
          <w:tcPr>
            <w:tcW w:w="1134" w:type="dxa"/>
            <w:tcBorders>
              <w:top w:val="single" w:sz="4" w:space="0" w:color="auto"/>
              <w:left w:val="single" w:sz="6" w:space="0" w:color="auto"/>
              <w:bottom w:val="single" w:sz="4" w:space="0" w:color="auto"/>
              <w:right w:val="single" w:sz="6" w:space="0" w:color="auto"/>
            </w:tcBorders>
            <w:shd w:val="clear" w:color="auto" w:fill="EEECE1"/>
            <w:vAlign w:val="center"/>
          </w:tcPr>
          <w:p w:rsidR="0081055F" w:rsidRPr="00CD417C" w:rsidRDefault="0081055F" w:rsidP="00322090">
            <w:pPr>
              <w:autoSpaceDE w:val="0"/>
              <w:autoSpaceDN w:val="0"/>
              <w:adjustRightInd w:val="0"/>
              <w:jc w:val="center"/>
              <w:rPr>
                <w:b/>
                <w:bCs/>
                <w:color w:val="000000"/>
                <w:sz w:val="20"/>
                <w:szCs w:val="20"/>
              </w:rPr>
            </w:pPr>
            <w:r w:rsidRPr="00CD417C">
              <w:rPr>
                <w:b/>
                <w:bCs/>
                <w:color w:val="000000"/>
                <w:sz w:val="20"/>
                <w:szCs w:val="20"/>
              </w:rPr>
              <w:t>Skutečnost % z celku</w:t>
            </w:r>
          </w:p>
        </w:tc>
        <w:tc>
          <w:tcPr>
            <w:tcW w:w="1134" w:type="dxa"/>
            <w:tcBorders>
              <w:top w:val="single" w:sz="4" w:space="0" w:color="auto"/>
              <w:left w:val="single" w:sz="6" w:space="0" w:color="auto"/>
              <w:bottom w:val="single" w:sz="4" w:space="0" w:color="auto"/>
              <w:right w:val="single" w:sz="6" w:space="0" w:color="auto"/>
            </w:tcBorders>
            <w:shd w:val="clear" w:color="auto" w:fill="EEECE1"/>
            <w:vAlign w:val="center"/>
          </w:tcPr>
          <w:p w:rsidR="0081055F" w:rsidRPr="00CD417C" w:rsidRDefault="0081055F" w:rsidP="00322090">
            <w:pPr>
              <w:autoSpaceDE w:val="0"/>
              <w:autoSpaceDN w:val="0"/>
              <w:adjustRightInd w:val="0"/>
              <w:jc w:val="center"/>
              <w:rPr>
                <w:b/>
                <w:bCs/>
                <w:color w:val="000000"/>
                <w:sz w:val="20"/>
                <w:szCs w:val="20"/>
              </w:rPr>
            </w:pPr>
            <w:r w:rsidRPr="00CD417C">
              <w:rPr>
                <w:b/>
                <w:bCs/>
                <w:color w:val="000000"/>
                <w:sz w:val="20"/>
                <w:szCs w:val="20"/>
              </w:rPr>
              <w:t>% plnění k UR</w:t>
            </w:r>
          </w:p>
        </w:tc>
        <w:tc>
          <w:tcPr>
            <w:tcW w:w="1275" w:type="dxa"/>
            <w:tcBorders>
              <w:top w:val="single" w:sz="4" w:space="0" w:color="auto"/>
              <w:left w:val="single" w:sz="6" w:space="0" w:color="auto"/>
              <w:bottom w:val="single" w:sz="4" w:space="0" w:color="auto"/>
              <w:right w:val="single" w:sz="6" w:space="0" w:color="auto"/>
            </w:tcBorders>
            <w:shd w:val="clear" w:color="auto" w:fill="EEECE1"/>
            <w:vAlign w:val="center"/>
          </w:tcPr>
          <w:p w:rsidR="0081055F" w:rsidRPr="00CD417C" w:rsidRDefault="0081055F" w:rsidP="00322090">
            <w:pPr>
              <w:autoSpaceDE w:val="0"/>
              <w:autoSpaceDN w:val="0"/>
              <w:adjustRightInd w:val="0"/>
              <w:jc w:val="center"/>
              <w:rPr>
                <w:b/>
                <w:bCs/>
                <w:color w:val="000000"/>
                <w:sz w:val="20"/>
                <w:szCs w:val="20"/>
              </w:rPr>
            </w:pPr>
            <w:r w:rsidRPr="00CD417C">
              <w:rPr>
                <w:b/>
                <w:bCs/>
                <w:color w:val="000000"/>
                <w:sz w:val="20"/>
                <w:szCs w:val="20"/>
              </w:rPr>
              <w:t>Plnění</w:t>
            </w:r>
            <w:r w:rsidR="00AA76C9" w:rsidRPr="00CD417C">
              <w:rPr>
                <w:b/>
                <w:bCs/>
                <w:color w:val="000000"/>
                <w:sz w:val="20"/>
                <w:szCs w:val="20"/>
              </w:rPr>
              <w:t xml:space="preserve"> </w:t>
            </w:r>
            <w:r w:rsidRPr="00CD417C">
              <w:rPr>
                <w:b/>
                <w:bCs/>
                <w:color w:val="000000"/>
                <w:sz w:val="20"/>
                <w:szCs w:val="20"/>
              </w:rPr>
              <w:t>k 31.12.2012</w:t>
            </w:r>
          </w:p>
        </w:tc>
      </w:tr>
      <w:tr w:rsidR="00322090" w:rsidRPr="005E2BA1" w:rsidTr="005E2BA1">
        <w:trPr>
          <w:trHeight w:val="296"/>
        </w:trPr>
        <w:tc>
          <w:tcPr>
            <w:tcW w:w="934" w:type="dxa"/>
            <w:tcBorders>
              <w:top w:val="single" w:sz="4"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AF4747">
            <w:pPr>
              <w:autoSpaceDE w:val="0"/>
              <w:autoSpaceDN w:val="0"/>
              <w:adjustRightInd w:val="0"/>
              <w:jc w:val="center"/>
              <w:rPr>
                <w:color w:val="000000"/>
                <w:sz w:val="20"/>
                <w:szCs w:val="20"/>
              </w:rPr>
            </w:pPr>
            <w:r w:rsidRPr="00CD417C">
              <w:rPr>
                <w:color w:val="000000"/>
                <w:sz w:val="20"/>
                <w:szCs w:val="20"/>
              </w:rPr>
              <w:t>01</w:t>
            </w:r>
          </w:p>
        </w:tc>
        <w:tc>
          <w:tcPr>
            <w:tcW w:w="1207" w:type="dxa"/>
            <w:tcBorders>
              <w:top w:val="single" w:sz="4"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4</w:t>
            </w:r>
            <w:r w:rsidR="00EB6EE9">
              <w:rPr>
                <w:color w:val="000000"/>
                <w:sz w:val="20"/>
                <w:szCs w:val="20"/>
              </w:rPr>
              <w:t>.</w:t>
            </w:r>
            <w:r w:rsidRPr="00CD417C">
              <w:rPr>
                <w:color w:val="000000"/>
                <w:sz w:val="20"/>
                <w:szCs w:val="20"/>
              </w:rPr>
              <w:t>584,2</w:t>
            </w:r>
          </w:p>
        </w:tc>
        <w:tc>
          <w:tcPr>
            <w:tcW w:w="1207" w:type="dxa"/>
            <w:tcBorders>
              <w:top w:val="single" w:sz="4"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4</w:t>
            </w:r>
            <w:r w:rsidR="00EB6EE9">
              <w:rPr>
                <w:color w:val="000000"/>
                <w:sz w:val="20"/>
                <w:szCs w:val="20"/>
              </w:rPr>
              <w:t>.</w:t>
            </w:r>
            <w:r w:rsidRPr="00CD417C">
              <w:rPr>
                <w:color w:val="000000"/>
                <w:sz w:val="20"/>
                <w:szCs w:val="20"/>
              </w:rPr>
              <w:t>511,9</w:t>
            </w:r>
          </w:p>
        </w:tc>
        <w:tc>
          <w:tcPr>
            <w:tcW w:w="935" w:type="dxa"/>
            <w:tcBorders>
              <w:top w:val="single" w:sz="4"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0,6%</w:t>
            </w:r>
          </w:p>
        </w:tc>
        <w:tc>
          <w:tcPr>
            <w:tcW w:w="1276" w:type="dxa"/>
            <w:tcBorders>
              <w:top w:val="single" w:sz="4"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3</w:t>
            </w:r>
            <w:r w:rsidR="00EB6EE9">
              <w:rPr>
                <w:color w:val="000000"/>
                <w:sz w:val="20"/>
                <w:szCs w:val="20"/>
              </w:rPr>
              <w:t>.</w:t>
            </w:r>
            <w:r w:rsidRPr="00CD417C">
              <w:rPr>
                <w:color w:val="000000"/>
                <w:sz w:val="20"/>
                <w:szCs w:val="20"/>
              </w:rPr>
              <w:t>780,4</w:t>
            </w:r>
          </w:p>
        </w:tc>
        <w:tc>
          <w:tcPr>
            <w:tcW w:w="1134" w:type="dxa"/>
            <w:tcBorders>
              <w:top w:val="single" w:sz="4"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0,6%</w:t>
            </w:r>
          </w:p>
        </w:tc>
        <w:tc>
          <w:tcPr>
            <w:tcW w:w="1134" w:type="dxa"/>
            <w:tcBorders>
              <w:top w:val="single" w:sz="4"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83,8%</w:t>
            </w:r>
          </w:p>
        </w:tc>
        <w:tc>
          <w:tcPr>
            <w:tcW w:w="1275" w:type="dxa"/>
            <w:tcBorders>
              <w:top w:val="single" w:sz="4" w:space="0" w:color="auto"/>
              <w:left w:val="single" w:sz="6" w:space="0" w:color="auto"/>
              <w:bottom w:val="single" w:sz="6" w:space="0" w:color="auto"/>
              <w:right w:val="single" w:sz="6" w:space="0" w:color="auto"/>
            </w:tcBorders>
            <w:shd w:val="solid" w:color="FFFFFF" w:fill="auto"/>
            <w:vAlign w:val="center"/>
          </w:tcPr>
          <w:p w:rsidR="00322090" w:rsidRPr="00CD417C" w:rsidRDefault="00EB6EE9" w:rsidP="0065568D">
            <w:pPr>
              <w:autoSpaceDE w:val="0"/>
              <w:autoSpaceDN w:val="0"/>
              <w:adjustRightInd w:val="0"/>
              <w:jc w:val="right"/>
              <w:rPr>
                <w:color w:val="000000"/>
                <w:sz w:val="20"/>
                <w:szCs w:val="20"/>
              </w:rPr>
            </w:pPr>
            <w:r>
              <w:rPr>
                <w:color w:val="000000"/>
                <w:sz w:val="20"/>
                <w:szCs w:val="20"/>
              </w:rPr>
              <w:t>3.</w:t>
            </w:r>
            <w:r w:rsidR="00322090" w:rsidRPr="00CD417C">
              <w:rPr>
                <w:color w:val="000000"/>
                <w:sz w:val="20"/>
                <w:szCs w:val="20"/>
              </w:rPr>
              <w:t>623,4</w:t>
            </w:r>
          </w:p>
        </w:tc>
      </w:tr>
      <w:tr w:rsidR="00322090" w:rsidRPr="005E2BA1" w:rsidTr="005E2BA1">
        <w:trPr>
          <w:trHeight w:val="305"/>
        </w:trPr>
        <w:tc>
          <w:tcPr>
            <w:tcW w:w="9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AF4747">
            <w:pPr>
              <w:autoSpaceDE w:val="0"/>
              <w:autoSpaceDN w:val="0"/>
              <w:adjustRightInd w:val="0"/>
              <w:jc w:val="center"/>
              <w:rPr>
                <w:color w:val="000000"/>
                <w:sz w:val="20"/>
                <w:szCs w:val="20"/>
              </w:rPr>
            </w:pPr>
            <w:r w:rsidRPr="00CD417C">
              <w:rPr>
                <w:color w:val="000000"/>
                <w:sz w:val="20"/>
                <w:szCs w:val="20"/>
              </w:rPr>
              <w:t>02</w:t>
            </w:r>
          </w:p>
        </w:tc>
        <w:tc>
          <w:tcPr>
            <w:tcW w:w="1207"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130</w:t>
            </w:r>
            <w:r w:rsidR="00EB6EE9">
              <w:rPr>
                <w:color w:val="000000"/>
                <w:sz w:val="20"/>
                <w:szCs w:val="20"/>
              </w:rPr>
              <w:t>.</w:t>
            </w:r>
            <w:r w:rsidRPr="00CD417C">
              <w:rPr>
                <w:color w:val="000000"/>
                <w:sz w:val="20"/>
                <w:szCs w:val="20"/>
              </w:rPr>
              <w:t>940,0</w:t>
            </w:r>
          </w:p>
        </w:tc>
        <w:tc>
          <w:tcPr>
            <w:tcW w:w="1207"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99</w:t>
            </w:r>
            <w:r w:rsidR="00EB6EE9">
              <w:rPr>
                <w:color w:val="000000"/>
                <w:sz w:val="20"/>
                <w:szCs w:val="20"/>
              </w:rPr>
              <w:t>.</w:t>
            </w:r>
            <w:r w:rsidRPr="00CD417C">
              <w:rPr>
                <w:color w:val="000000"/>
                <w:sz w:val="20"/>
                <w:szCs w:val="20"/>
              </w:rPr>
              <w:t>563,4</w:t>
            </w:r>
          </w:p>
        </w:tc>
        <w:tc>
          <w:tcPr>
            <w:tcW w:w="935"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12,4%</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92</w:t>
            </w:r>
            <w:r w:rsidR="00EB6EE9">
              <w:rPr>
                <w:color w:val="000000"/>
                <w:sz w:val="20"/>
                <w:szCs w:val="20"/>
              </w:rPr>
              <w:t>.</w:t>
            </w:r>
            <w:r w:rsidRPr="00CD417C">
              <w:rPr>
                <w:color w:val="000000"/>
                <w:sz w:val="20"/>
                <w:szCs w:val="20"/>
              </w:rPr>
              <w:t>090,4</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13,5%</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92,5%</w:t>
            </w:r>
          </w:p>
        </w:tc>
        <w:tc>
          <w:tcPr>
            <w:tcW w:w="1275"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105</w:t>
            </w:r>
            <w:r w:rsidR="00EB6EE9">
              <w:rPr>
                <w:color w:val="000000"/>
                <w:sz w:val="20"/>
                <w:szCs w:val="20"/>
              </w:rPr>
              <w:t>.</w:t>
            </w:r>
            <w:r w:rsidRPr="00CD417C">
              <w:rPr>
                <w:color w:val="000000"/>
                <w:sz w:val="20"/>
                <w:szCs w:val="20"/>
              </w:rPr>
              <w:t>378,6</w:t>
            </w:r>
          </w:p>
        </w:tc>
      </w:tr>
      <w:tr w:rsidR="00322090" w:rsidRPr="005E2BA1" w:rsidTr="005E2BA1">
        <w:trPr>
          <w:trHeight w:val="243"/>
        </w:trPr>
        <w:tc>
          <w:tcPr>
            <w:tcW w:w="9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AF4747">
            <w:pPr>
              <w:autoSpaceDE w:val="0"/>
              <w:autoSpaceDN w:val="0"/>
              <w:adjustRightInd w:val="0"/>
              <w:jc w:val="center"/>
              <w:rPr>
                <w:color w:val="000000"/>
                <w:sz w:val="20"/>
                <w:szCs w:val="20"/>
              </w:rPr>
            </w:pPr>
            <w:r w:rsidRPr="00CD417C">
              <w:rPr>
                <w:color w:val="000000"/>
                <w:sz w:val="20"/>
                <w:szCs w:val="20"/>
              </w:rPr>
              <w:t>03</w:t>
            </w:r>
          </w:p>
        </w:tc>
        <w:tc>
          <w:tcPr>
            <w:tcW w:w="1207"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10</w:t>
            </w:r>
            <w:r w:rsidR="00EB6EE9">
              <w:rPr>
                <w:color w:val="000000"/>
                <w:sz w:val="20"/>
                <w:szCs w:val="20"/>
              </w:rPr>
              <w:t>.</w:t>
            </w:r>
            <w:r w:rsidRPr="00CD417C">
              <w:rPr>
                <w:color w:val="000000"/>
                <w:sz w:val="20"/>
                <w:szCs w:val="20"/>
              </w:rPr>
              <w:t>550,0</w:t>
            </w:r>
          </w:p>
        </w:tc>
        <w:tc>
          <w:tcPr>
            <w:tcW w:w="1207"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5</w:t>
            </w:r>
            <w:r w:rsidR="00EB6EE9">
              <w:rPr>
                <w:color w:val="000000"/>
                <w:sz w:val="20"/>
                <w:szCs w:val="20"/>
              </w:rPr>
              <w:t>.</w:t>
            </w:r>
            <w:r w:rsidRPr="00CD417C">
              <w:rPr>
                <w:color w:val="000000"/>
                <w:sz w:val="20"/>
                <w:szCs w:val="20"/>
              </w:rPr>
              <w:t>463,1</w:t>
            </w:r>
          </w:p>
        </w:tc>
        <w:tc>
          <w:tcPr>
            <w:tcW w:w="935"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0,7%</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3</w:t>
            </w:r>
            <w:r w:rsidR="00EB6EE9">
              <w:rPr>
                <w:color w:val="000000"/>
                <w:sz w:val="20"/>
                <w:szCs w:val="20"/>
              </w:rPr>
              <w:t>.</w:t>
            </w:r>
            <w:r w:rsidRPr="00CD417C">
              <w:rPr>
                <w:color w:val="000000"/>
                <w:sz w:val="20"/>
                <w:szCs w:val="20"/>
              </w:rPr>
              <w:t>939,6</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0,6%</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72,1%</w:t>
            </w:r>
          </w:p>
        </w:tc>
        <w:tc>
          <w:tcPr>
            <w:tcW w:w="1275"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65568D">
            <w:pPr>
              <w:autoSpaceDE w:val="0"/>
              <w:autoSpaceDN w:val="0"/>
              <w:adjustRightInd w:val="0"/>
              <w:jc w:val="right"/>
              <w:rPr>
                <w:color w:val="000000"/>
                <w:sz w:val="20"/>
                <w:szCs w:val="20"/>
              </w:rPr>
            </w:pPr>
            <w:r w:rsidRPr="00CD417C">
              <w:rPr>
                <w:color w:val="000000"/>
                <w:sz w:val="20"/>
                <w:szCs w:val="20"/>
              </w:rPr>
              <w:t>5,2</w:t>
            </w:r>
          </w:p>
        </w:tc>
      </w:tr>
      <w:tr w:rsidR="00322090" w:rsidRPr="005E2BA1" w:rsidTr="005E2BA1">
        <w:trPr>
          <w:trHeight w:val="326"/>
        </w:trPr>
        <w:tc>
          <w:tcPr>
            <w:tcW w:w="9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AF4747">
            <w:pPr>
              <w:autoSpaceDE w:val="0"/>
              <w:autoSpaceDN w:val="0"/>
              <w:adjustRightInd w:val="0"/>
              <w:jc w:val="center"/>
              <w:rPr>
                <w:color w:val="000000"/>
                <w:sz w:val="20"/>
                <w:szCs w:val="20"/>
              </w:rPr>
            </w:pPr>
            <w:r w:rsidRPr="00CD417C">
              <w:rPr>
                <w:color w:val="000000"/>
                <w:sz w:val="20"/>
                <w:szCs w:val="20"/>
              </w:rPr>
              <w:t>04</w:t>
            </w:r>
          </w:p>
        </w:tc>
        <w:tc>
          <w:tcPr>
            <w:tcW w:w="1207"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162</w:t>
            </w:r>
            <w:r w:rsidR="00EB6EE9">
              <w:rPr>
                <w:color w:val="000000"/>
                <w:sz w:val="20"/>
                <w:szCs w:val="20"/>
              </w:rPr>
              <w:t>.</w:t>
            </w:r>
            <w:r w:rsidRPr="00CD417C">
              <w:rPr>
                <w:color w:val="000000"/>
                <w:sz w:val="20"/>
                <w:szCs w:val="20"/>
              </w:rPr>
              <w:t>015,0</w:t>
            </w:r>
          </w:p>
        </w:tc>
        <w:tc>
          <w:tcPr>
            <w:tcW w:w="1207"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253</w:t>
            </w:r>
            <w:r w:rsidR="00EB6EE9">
              <w:rPr>
                <w:color w:val="000000"/>
                <w:sz w:val="20"/>
                <w:szCs w:val="20"/>
              </w:rPr>
              <w:t>.</w:t>
            </w:r>
            <w:r w:rsidRPr="00CD417C">
              <w:rPr>
                <w:color w:val="000000"/>
                <w:sz w:val="20"/>
                <w:szCs w:val="20"/>
              </w:rPr>
              <w:t>208,9</w:t>
            </w:r>
          </w:p>
        </w:tc>
        <w:tc>
          <w:tcPr>
            <w:tcW w:w="935"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31,7%</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219</w:t>
            </w:r>
            <w:r w:rsidR="00EB6EE9">
              <w:rPr>
                <w:color w:val="000000"/>
                <w:sz w:val="20"/>
                <w:szCs w:val="20"/>
              </w:rPr>
              <w:t>.</w:t>
            </w:r>
            <w:r w:rsidRPr="00CD417C">
              <w:rPr>
                <w:color w:val="000000"/>
                <w:sz w:val="20"/>
                <w:szCs w:val="20"/>
              </w:rPr>
              <w:t>956,</w:t>
            </w:r>
            <w:r w:rsidR="009924AB" w:rsidRPr="00CD417C">
              <w:rPr>
                <w:color w:val="000000"/>
                <w:sz w:val="20"/>
                <w:szCs w:val="20"/>
              </w:rPr>
              <w:t>2</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32,3%</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86,9%</w:t>
            </w:r>
          </w:p>
        </w:tc>
        <w:tc>
          <w:tcPr>
            <w:tcW w:w="1275"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165</w:t>
            </w:r>
            <w:r w:rsidR="00EB6EE9">
              <w:rPr>
                <w:color w:val="000000"/>
                <w:sz w:val="20"/>
                <w:szCs w:val="20"/>
              </w:rPr>
              <w:t>.</w:t>
            </w:r>
            <w:r w:rsidRPr="00CD417C">
              <w:rPr>
                <w:color w:val="000000"/>
                <w:sz w:val="20"/>
                <w:szCs w:val="20"/>
              </w:rPr>
              <w:t>177,9</w:t>
            </w:r>
          </w:p>
        </w:tc>
      </w:tr>
      <w:tr w:rsidR="00322090" w:rsidRPr="005E2BA1" w:rsidTr="005E2BA1">
        <w:trPr>
          <w:trHeight w:val="228"/>
        </w:trPr>
        <w:tc>
          <w:tcPr>
            <w:tcW w:w="9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AF4747">
            <w:pPr>
              <w:autoSpaceDE w:val="0"/>
              <w:autoSpaceDN w:val="0"/>
              <w:adjustRightInd w:val="0"/>
              <w:jc w:val="center"/>
              <w:rPr>
                <w:color w:val="000000"/>
                <w:sz w:val="20"/>
                <w:szCs w:val="20"/>
              </w:rPr>
            </w:pPr>
            <w:r w:rsidRPr="00CD417C">
              <w:rPr>
                <w:color w:val="000000"/>
                <w:sz w:val="20"/>
                <w:szCs w:val="20"/>
              </w:rPr>
              <w:t>05</w:t>
            </w:r>
          </w:p>
        </w:tc>
        <w:tc>
          <w:tcPr>
            <w:tcW w:w="1207"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35</w:t>
            </w:r>
            <w:r w:rsidR="00EB6EE9">
              <w:rPr>
                <w:color w:val="000000"/>
                <w:sz w:val="20"/>
                <w:szCs w:val="20"/>
              </w:rPr>
              <w:t>.</w:t>
            </w:r>
            <w:r w:rsidRPr="00CD417C">
              <w:rPr>
                <w:color w:val="000000"/>
                <w:sz w:val="20"/>
                <w:szCs w:val="20"/>
              </w:rPr>
              <w:t>988,0</w:t>
            </w:r>
          </w:p>
        </w:tc>
        <w:tc>
          <w:tcPr>
            <w:tcW w:w="1207"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32</w:t>
            </w:r>
            <w:r w:rsidR="00EB6EE9">
              <w:rPr>
                <w:color w:val="000000"/>
                <w:sz w:val="20"/>
                <w:szCs w:val="20"/>
              </w:rPr>
              <w:t>.</w:t>
            </w:r>
            <w:r w:rsidRPr="00CD417C">
              <w:rPr>
                <w:color w:val="000000"/>
                <w:sz w:val="20"/>
                <w:szCs w:val="20"/>
              </w:rPr>
              <w:t>151,4</w:t>
            </w:r>
          </w:p>
        </w:tc>
        <w:tc>
          <w:tcPr>
            <w:tcW w:w="935"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4,0%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30</w:t>
            </w:r>
            <w:r w:rsidR="00EB6EE9">
              <w:rPr>
                <w:color w:val="000000"/>
                <w:sz w:val="20"/>
                <w:szCs w:val="20"/>
              </w:rPr>
              <w:t>.</w:t>
            </w:r>
            <w:r w:rsidRPr="00CD417C">
              <w:rPr>
                <w:color w:val="000000"/>
                <w:sz w:val="20"/>
                <w:szCs w:val="20"/>
              </w:rPr>
              <w:t>049,4</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4,4%</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93,5%</w:t>
            </w:r>
          </w:p>
        </w:tc>
        <w:tc>
          <w:tcPr>
            <w:tcW w:w="1275"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27</w:t>
            </w:r>
            <w:r w:rsidR="00EB6EE9">
              <w:rPr>
                <w:color w:val="000000"/>
                <w:sz w:val="20"/>
                <w:szCs w:val="20"/>
              </w:rPr>
              <w:t>.</w:t>
            </w:r>
            <w:r w:rsidRPr="00CD417C">
              <w:rPr>
                <w:color w:val="000000"/>
                <w:sz w:val="20"/>
                <w:szCs w:val="20"/>
              </w:rPr>
              <w:t>049,3</w:t>
            </w:r>
          </w:p>
        </w:tc>
      </w:tr>
      <w:tr w:rsidR="00322090" w:rsidRPr="005E2BA1" w:rsidTr="005E2BA1">
        <w:trPr>
          <w:trHeight w:val="241"/>
        </w:trPr>
        <w:tc>
          <w:tcPr>
            <w:tcW w:w="9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AF4747">
            <w:pPr>
              <w:autoSpaceDE w:val="0"/>
              <w:autoSpaceDN w:val="0"/>
              <w:adjustRightInd w:val="0"/>
              <w:jc w:val="center"/>
              <w:rPr>
                <w:color w:val="000000"/>
                <w:sz w:val="20"/>
                <w:szCs w:val="20"/>
              </w:rPr>
            </w:pPr>
            <w:r w:rsidRPr="00CD417C">
              <w:rPr>
                <w:color w:val="000000"/>
                <w:sz w:val="20"/>
                <w:szCs w:val="20"/>
              </w:rPr>
              <w:t>06</w:t>
            </w:r>
          </w:p>
        </w:tc>
        <w:tc>
          <w:tcPr>
            <w:tcW w:w="1207"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32</w:t>
            </w:r>
            <w:r w:rsidR="00EB6EE9">
              <w:rPr>
                <w:color w:val="000000"/>
                <w:sz w:val="20"/>
                <w:szCs w:val="20"/>
              </w:rPr>
              <w:t>.</w:t>
            </w:r>
            <w:r w:rsidRPr="00CD417C">
              <w:rPr>
                <w:color w:val="000000"/>
                <w:sz w:val="20"/>
                <w:szCs w:val="20"/>
              </w:rPr>
              <w:t>089,0</w:t>
            </w:r>
          </w:p>
        </w:tc>
        <w:tc>
          <w:tcPr>
            <w:tcW w:w="1207"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42</w:t>
            </w:r>
            <w:r w:rsidR="00EB6EE9">
              <w:rPr>
                <w:color w:val="000000"/>
                <w:sz w:val="20"/>
                <w:szCs w:val="20"/>
              </w:rPr>
              <w:t>.</w:t>
            </w:r>
            <w:r w:rsidRPr="00CD417C">
              <w:rPr>
                <w:color w:val="000000"/>
                <w:sz w:val="20"/>
                <w:szCs w:val="20"/>
              </w:rPr>
              <w:t>272,4</w:t>
            </w:r>
          </w:p>
        </w:tc>
        <w:tc>
          <w:tcPr>
            <w:tcW w:w="935"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5,3%</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34</w:t>
            </w:r>
            <w:r w:rsidR="00EB6EE9">
              <w:rPr>
                <w:color w:val="000000"/>
                <w:sz w:val="20"/>
                <w:szCs w:val="20"/>
              </w:rPr>
              <w:t>.</w:t>
            </w:r>
            <w:r w:rsidRPr="00CD417C">
              <w:rPr>
                <w:color w:val="000000"/>
                <w:sz w:val="20"/>
                <w:szCs w:val="20"/>
              </w:rPr>
              <w:t>967,0</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5,1%</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82,7%</w:t>
            </w:r>
          </w:p>
        </w:tc>
        <w:tc>
          <w:tcPr>
            <w:tcW w:w="1275"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37</w:t>
            </w:r>
            <w:r w:rsidR="00EB6EE9">
              <w:rPr>
                <w:color w:val="000000"/>
                <w:sz w:val="20"/>
                <w:szCs w:val="20"/>
              </w:rPr>
              <w:t>.</w:t>
            </w:r>
            <w:r w:rsidRPr="00CD417C">
              <w:rPr>
                <w:color w:val="000000"/>
                <w:sz w:val="20"/>
                <w:szCs w:val="20"/>
              </w:rPr>
              <w:t>421,8</w:t>
            </w:r>
          </w:p>
        </w:tc>
      </w:tr>
      <w:tr w:rsidR="00322090" w:rsidRPr="005E2BA1" w:rsidTr="005E2BA1">
        <w:trPr>
          <w:trHeight w:val="273"/>
        </w:trPr>
        <w:tc>
          <w:tcPr>
            <w:tcW w:w="9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AF4747">
            <w:pPr>
              <w:autoSpaceDE w:val="0"/>
              <w:autoSpaceDN w:val="0"/>
              <w:adjustRightInd w:val="0"/>
              <w:jc w:val="center"/>
              <w:rPr>
                <w:color w:val="000000"/>
                <w:sz w:val="20"/>
                <w:szCs w:val="20"/>
              </w:rPr>
            </w:pPr>
            <w:r w:rsidRPr="00CD417C">
              <w:rPr>
                <w:color w:val="000000"/>
                <w:sz w:val="20"/>
                <w:szCs w:val="20"/>
              </w:rPr>
              <w:t>07</w:t>
            </w:r>
          </w:p>
        </w:tc>
        <w:tc>
          <w:tcPr>
            <w:tcW w:w="1207"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1</w:t>
            </w:r>
            <w:r w:rsidR="00EB6EE9">
              <w:rPr>
                <w:color w:val="000000"/>
                <w:sz w:val="20"/>
                <w:szCs w:val="20"/>
              </w:rPr>
              <w:t>.</w:t>
            </w:r>
            <w:r w:rsidRPr="00CD417C">
              <w:rPr>
                <w:color w:val="000000"/>
                <w:sz w:val="20"/>
                <w:szCs w:val="20"/>
              </w:rPr>
              <w:t>189,0</w:t>
            </w:r>
          </w:p>
        </w:tc>
        <w:tc>
          <w:tcPr>
            <w:tcW w:w="1207"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16</w:t>
            </w:r>
            <w:r w:rsidR="00EB6EE9">
              <w:rPr>
                <w:color w:val="000000"/>
                <w:sz w:val="20"/>
                <w:szCs w:val="20"/>
              </w:rPr>
              <w:t>.</w:t>
            </w:r>
            <w:r w:rsidRPr="00CD417C">
              <w:rPr>
                <w:color w:val="000000"/>
                <w:sz w:val="20"/>
                <w:szCs w:val="20"/>
              </w:rPr>
              <w:t>171,3</w:t>
            </w:r>
          </w:p>
        </w:tc>
        <w:tc>
          <w:tcPr>
            <w:tcW w:w="935"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2,0%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15</w:t>
            </w:r>
            <w:r w:rsidR="00EB6EE9">
              <w:rPr>
                <w:color w:val="000000"/>
                <w:sz w:val="20"/>
                <w:szCs w:val="20"/>
              </w:rPr>
              <w:t>.</w:t>
            </w:r>
            <w:r w:rsidRPr="00CD417C">
              <w:rPr>
                <w:color w:val="000000"/>
                <w:sz w:val="20"/>
                <w:szCs w:val="20"/>
              </w:rPr>
              <w:t>994,</w:t>
            </w:r>
            <w:r w:rsidR="009924AB" w:rsidRPr="00CD417C">
              <w:rPr>
                <w:color w:val="000000"/>
                <w:sz w:val="20"/>
                <w:szCs w:val="20"/>
              </w:rPr>
              <w:t>3</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2,3%</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98,9%</w:t>
            </w:r>
          </w:p>
        </w:tc>
        <w:tc>
          <w:tcPr>
            <w:tcW w:w="1275"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1</w:t>
            </w:r>
            <w:r w:rsidR="00EB6EE9">
              <w:rPr>
                <w:color w:val="000000"/>
                <w:sz w:val="20"/>
                <w:szCs w:val="20"/>
              </w:rPr>
              <w:t>.</w:t>
            </w:r>
            <w:r w:rsidRPr="00CD417C">
              <w:rPr>
                <w:color w:val="000000"/>
                <w:sz w:val="20"/>
                <w:szCs w:val="20"/>
              </w:rPr>
              <w:t>275,3</w:t>
            </w:r>
          </w:p>
        </w:tc>
      </w:tr>
      <w:tr w:rsidR="00322090" w:rsidRPr="005E2BA1" w:rsidTr="005E2BA1">
        <w:trPr>
          <w:trHeight w:val="228"/>
        </w:trPr>
        <w:tc>
          <w:tcPr>
            <w:tcW w:w="9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AF4747">
            <w:pPr>
              <w:autoSpaceDE w:val="0"/>
              <w:autoSpaceDN w:val="0"/>
              <w:adjustRightInd w:val="0"/>
              <w:jc w:val="center"/>
              <w:rPr>
                <w:color w:val="000000"/>
                <w:sz w:val="20"/>
                <w:szCs w:val="20"/>
              </w:rPr>
            </w:pPr>
            <w:r w:rsidRPr="00CD417C">
              <w:rPr>
                <w:color w:val="000000"/>
                <w:sz w:val="20"/>
                <w:szCs w:val="20"/>
              </w:rPr>
              <w:t>08</w:t>
            </w:r>
          </w:p>
        </w:tc>
        <w:tc>
          <w:tcPr>
            <w:tcW w:w="1207"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27</w:t>
            </w:r>
            <w:r w:rsidR="00EB6EE9">
              <w:rPr>
                <w:color w:val="000000"/>
                <w:sz w:val="20"/>
                <w:szCs w:val="20"/>
              </w:rPr>
              <w:t>.</w:t>
            </w:r>
            <w:r w:rsidRPr="00CD417C">
              <w:rPr>
                <w:color w:val="000000"/>
                <w:sz w:val="20"/>
                <w:szCs w:val="20"/>
              </w:rPr>
              <w:t>597,2</w:t>
            </w:r>
          </w:p>
        </w:tc>
        <w:tc>
          <w:tcPr>
            <w:tcW w:w="1207"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15</w:t>
            </w:r>
            <w:r w:rsidR="00EB6EE9">
              <w:rPr>
                <w:color w:val="000000"/>
                <w:sz w:val="20"/>
                <w:szCs w:val="20"/>
              </w:rPr>
              <w:t>.</w:t>
            </w:r>
            <w:r w:rsidRPr="00CD417C">
              <w:rPr>
                <w:color w:val="000000"/>
                <w:sz w:val="20"/>
                <w:szCs w:val="20"/>
              </w:rPr>
              <w:t>325,2</w:t>
            </w:r>
          </w:p>
        </w:tc>
        <w:tc>
          <w:tcPr>
            <w:tcW w:w="935"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1,9%</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EB6EE9" w:rsidP="0065568D">
            <w:pPr>
              <w:autoSpaceDE w:val="0"/>
              <w:autoSpaceDN w:val="0"/>
              <w:adjustRightInd w:val="0"/>
              <w:jc w:val="right"/>
              <w:rPr>
                <w:color w:val="000000"/>
                <w:sz w:val="20"/>
                <w:szCs w:val="20"/>
              </w:rPr>
            </w:pPr>
            <w:r>
              <w:rPr>
                <w:color w:val="000000"/>
                <w:sz w:val="20"/>
                <w:szCs w:val="20"/>
              </w:rPr>
              <w:t>12.</w:t>
            </w:r>
            <w:r w:rsidR="00322090" w:rsidRPr="00CD417C">
              <w:rPr>
                <w:color w:val="000000"/>
                <w:sz w:val="20"/>
                <w:szCs w:val="20"/>
              </w:rPr>
              <w:t>716,2</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1,9%</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83,0%</w:t>
            </w:r>
          </w:p>
        </w:tc>
        <w:tc>
          <w:tcPr>
            <w:tcW w:w="1275"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EB6EE9">
            <w:pPr>
              <w:autoSpaceDE w:val="0"/>
              <w:autoSpaceDN w:val="0"/>
              <w:adjustRightInd w:val="0"/>
              <w:jc w:val="right"/>
              <w:rPr>
                <w:color w:val="000000"/>
                <w:sz w:val="20"/>
                <w:szCs w:val="20"/>
              </w:rPr>
            </w:pPr>
            <w:r w:rsidRPr="00CD417C">
              <w:rPr>
                <w:color w:val="000000"/>
                <w:sz w:val="20"/>
                <w:szCs w:val="20"/>
              </w:rPr>
              <w:t>3</w:t>
            </w:r>
            <w:r w:rsidR="00EB6EE9">
              <w:rPr>
                <w:color w:val="000000"/>
                <w:sz w:val="20"/>
                <w:szCs w:val="20"/>
              </w:rPr>
              <w:t>.</w:t>
            </w:r>
            <w:r w:rsidRPr="00CD417C">
              <w:rPr>
                <w:color w:val="000000"/>
                <w:sz w:val="20"/>
                <w:szCs w:val="20"/>
              </w:rPr>
              <w:t>297,7</w:t>
            </w:r>
          </w:p>
        </w:tc>
      </w:tr>
      <w:tr w:rsidR="00322090" w:rsidRPr="005E2BA1" w:rsidTr="005E2BA1">
        <w:trPr>
          <w:trHeight w:val="283"/>
        </w:trPr>
        <w:tc>
          <w:tcPr>
            <w:tcW w:w="9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AF4747">
            <w:pPr>
              <w:autoSpaceDE w:val="0"/>
              <w:autoSpaceDN w:val="0"/>
              <w:adjustRightInd w:val="0"/>
              <w:jc w:val="center"/>
              <w:rPr>
                <w:color w:val="000000"/>
                <w:sz w:val="20"/>
                <w:szCs w:val="20"/>
              </w:rPr>
            </w:pPr>
            <w:r w:rsidRPr="00CD417C">
              <w:rPr>
                <w:color w:val="000000"/>
                <w:sz w:val="20"/>
                <w:szCs w:val="20"/>
              </w:rPr>
              <w:t>09</w:t>
            </w:r>
          </w:p>
        </w:tc>
        <w:tc>
          <w:tcPr>
            <w:tcW w:w="1207"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right"/>
              <w:rPr>
                <w:color w:val="000000"/>
                <w:sz w:val="20"/>
                <w:szCs w:val="20"/>
              </w:rPr>
            </w:pPr>
            <w:r w:rsidRPr="00CD417C">
              <w:rPr>
                <w:color w:val="000000"/>
                <w:sz w:val="20"/>
                <w:szCs w:val="20"/>
              </w:rPr>
              <w:t>285</w:t>
            </w:r>
            <w:r w:rsidR="00D62D16">
              <w:rPr>
                <w:color w:val="000000"/>
                <w:sz w:val="20"/>
                <w:szCs w:val="20"/>
              </w:rPr>
              <w:t>.</w:t>
            </w:r>
            <w:r w:rsidRPr="00CD417C">
              <w:rPr>
                <w:color w:val="000000"/>
                <w:sz w:val="20"/>
                <w:szCs w:val="20"/>
              </w:rPr>
              <w:t>937,9</w:t>
            </w:r>
          </w:p>
        </w:tc>
        <w:tc>
          <w:tcPr>
            <w:tcW w:w="1207"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right"/>
              <w:rPr>
                <w:color w:val="000000"/>
                <w:sz w:val="20"/>
                <w:szCs w:val="20"/>
              </w:rPr>
            </w:pPr>
            <w:r w:rsidRPr="00CD417C">
              <w:rPr>
                <w:color w:val="000000"/>
                <w:sz w:val="20"/>
                <w:szCs w:val="20"/>
              </w:rPr>
              <w:t>307</w:t>
            </w:r>
            <w:r w:rsidR="00D62D16">
              <w:rPr>
                <w:color w:val="000000"/>
                <w:sz w:val="20"/>
                <w:szCs w:val="20"/>
              </w:rPr>
              <w:t>.</w:t>
            </w:r>
            <w:r w:rsidRPr="00CD417C">
              <w:rPr>
                <w:color w:val="000000"/>
                <w:sz w:val="20"/>
                <w:szCs w:val="20"/>
              </w:rPr>
              <w:t>171,0</w:t>
            </w:r>
          </w:p>
        </w:tc>
        <w:tc>
          <w:tcPr>
            <w:tcW w:w="935"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38,4%</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right"/>
              <w:rPr>
                <w:color w:val="000000"/>
                <w:sz w:val="20"/>
                <w:szCs w:val="20"/>
              </w:rPr>
            </w:pPr>
            <w:r w:rsidRPr="00CD417C">
              <w:rPr>
                <w:color w:val="000000"/>
                <w:sz w:val="20"/>
                <w:szCs w:val="20"/>
              </w:rPr>
              <w:t>267</w:t>
            </w:r>
            <w:r w:rsidR="00D62D16">
              <w:rPr>
                <w:color w:val="000000"/>
                <w:sz w:val="20"/>
                <w:szCs w:val="20"/>
              </w:rPr>
              <w:t>.</w:t>
            </w:r>
            <w:r w:rsidRPr="00CD417C">
              <w:rPr>
                <w:color w:val="000000"/>
                <w:sz w:val="20"/>
                <w:szCs w:val="20"/>
              </w:rPr>
              <w:t>237,2</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39,2%</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87,0%</w:t>
            </w:r>
          </w:p>
        </w:tc>
        <w:tc>
          <w:tcPr>
            <w:tcW w:w="1275"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right"/>
              <w:rPr>
                <w:color w:val="000000"/>
                <w:sz w:val="20"/>
                <w:szCs w:val="20"/>
              </w:rPr>
            </w:pPr>
            <w:r w:rsidRPr="00CD417C">
              <w:rPr>
                <w:color w:val="000000"/>
                <w:sz w:val="20"/>
                <w:szCs w:val="20"/>
              </w:rPr>
              <w:t>249</w:t>
            </w:r>
            <w:r w:rsidR="00D62D16">
              <w:rPr>
                <w:color w:val="000000"/>
                <w:sz w:val="20"/>
                <w:szCs w:val="20"/>
              </w:rPr>
              <w:t>.</w:t>
            </w:r>
            <w:r w:rsidRPr="00CD417C">
              <w:rPr>
                <w:color w:val="000000"/>
                <w:sz w:val="20"/>
                <w:szCs w:val="20"/>
              </w:rPr>
              <w:t>240,7</w:t>
            </w:r>
          </w:p>
        </w:tc>
      </w:tr>
      <w:tr w:rsidR="00322090" w:rsidRPr="005E2BA1" w:rsidTr="005E2BA1">
        <w:trPr>
          <w:trHeight w:val="228"/>
        </w:trPr>
        <w:tc>
          <w:tcPr>
            <w:tcW w:w="9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AF4747">
            <w:pPr>
              <w:autoSpaceDE w:val="0"/>
              <w:autoSpaceDN w:val="0"/>
              <w:adjustRightInd w:val="0"/>
              <w:jc w:val="center"/>
              <w:rPr>
                <w:color w:val="000000"/>
                <w:sz w:val="20"/>
                <w:szCs w:val="20"/>
              </w:rPr>
            </w:pPr>
            <w:r w:rsidRPr="00CD417C">
              <w:rPr>
                <w:color w:val="000000"/>
                <w:sz w:val="20"/>
                <w:szCs w:val="20"/>
              </w:rPr>
              <w:t>10</w:t>
            </w:r>
          </w:p>
        </w:tc>
        <w:tc>
          <w:tcPr>
            <w:tcW w:w="1207"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right"/>
              <w:rPr>
                <w:color w:val="000000"/>
                <w:sz w:val="20"/>
                <w:szCs w:val="20"/>
              </w:rPr>
            </w:pPr>
            <w:r w:rsidRPr="00CD417C">
              <w:rPr>
                <w:color w:val="000000"/>
                <w:sz w:val="20"/>
                <w:szCs w:val="20"/>
              </w:rPr>
              <w:t>21</w:t>
            </w:r>
            <w:r w:rsidR="00D62D16">
              <w:rPr>
                <w:color w:val="000000"/>
                <w:sz w:val="20"/>
                <w:szCs w:val="20"/>
              </w:rPr>
              <w:t>.</w:t>
            </w:r>
            <w:r w:rsidRPr="00CD417C">
              <w:rPr>
                <w:color w:val="000000"/>
                <w:sz w:val="20"/>
                <w:szCs w:val="20"/>
              </w:rPr>
              <w:t>568,0</w:t>
            </w:r>
          </w:p>
        </w:tc>
        <w:tc>
          <w:tcPr>
            <w:tcW w:w="1207"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right"/>
              <w:rPr>
                <w:color w:val="000000"/>
                <w:sz w:val="20"/>
                <w:szCs w:val="20"/>
              </w:rPr>
            </w:pPr>
            <w:r w:rsidRPr="00CD417C">
              <w:rPr>
                <w:color w:val="000000"/>
                <w:sz w:val="20"/>
                <w:szCs w:val="20"/>
              </w:rPr>
              <w:t>24</w:t>
            </w:r>
            <w:r w:rsidR="00D62D16">
              <w:rPr>
                <w:color w:val="000000"/>
                <w:sz w:val="20"/>
                <w:szCs w:val="20"/>
              </w:rPr>
              <w:t>.</w:t>
            </w:r>
            <w:r w:rsidRPr="00CD417C">
              <w:rPr>
                <w:color w:val="000000"/>
                <w:sz w:val="20"/>
                <w:szCs w:val="20"/>
              </w:rPr>
              <w:t>122,4</w:t>
            </w:r>
          </w:p>
        </w:tc>
        <w:tc>
          <w:tcPr>
            <w:tcW w:w="935"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3,0%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65568D">
            <w:pPr>
              <w:autoSpaceDE w:val="0"/>
              <w:autoSpaceDN w:val="0"/>
              <w:adjustRightInd w:val="0"/>
              <w:jc w:val="right"/>
              <w:rPr>
                <w:color w:val="000000"/>
                <w:sz w:val="20"/>
                <w:szCs w:val="20"/>
              </w:rPr>
            </w:pPr>
            <w:r w:rsidRPr="00CD417C">
              <w:rPr>
                <w:color w:val="000000"/>
                <w:sz w:val="20"/>
                <w:szCs w:val="20"/>
              </w:rPr>
              <w:t>613,4</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0,1%</w:t>
            </w:r>
          </w:p>
        </w:tc>
        <w:tc>
          <w:tcPr>
            <w:tcW w:w="1134"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62D16">
            <w:pPr>
              <w:autoSpaceDE w:val="0"/>
              <w:autoSpaceDN w:val="0"/>
              <w:adjustRightInd w:val="0"/>
              <w:jc w:val="center"/>
              <w:rPr>
                <w:color w:val="000000"/>
                <w:sz w:val="20"/>
                <w:szCs w:val="20"/>
              </w:rPr>
            </w:pPr>
            <w:r w:rsidRPr="00CD417C">
              <w:rPr>
                <w:color w:val="000000"/>
                <w:sz w:val="20"/>
                <w:szCs w:val="20"/>
              </w:rPr>
              <w:t>2,5%</w:t>
            </w:r>
          </w:p>
        </w:tc>
        <w:tc>
          <w:tcPr>
            <w:tcW w:w="1275" w:type="dxa"/>
            <w:tcBorders>
              <w:top w:val="single" w:sz="6" w:space="0" w:color="auto"/>
              <w:left w:val="single" w:sz="6" w:space="0" w:color="auto"/>
              <w:bottom w:val="single" w:sz="6" w:space="0" w:color="auto"/>
              <w:right w:val="single" w:sz="6" w:space="0" w:color="auto"/>
            </w:tcBorders>
            <w:shd w:val="solid" w:color="FFFFFF" w:fill="auto"/>
            <w:vAlign w:val="center"/>
          </w:tcPr>
          <w:p w:rsidR="00322090" w:rsidRPr="00CD417C" w:rsidRDefault="00322090" w:rsidP="00D57ADF">
            <w:pPr>
              <w:autoSpaceDE w:val="0"/>
              <w:autoSpaceDN w:val="0"/>
              <w:adjustRightInd w:val="0"/>
              <w:jc w:val="right"/>
              <w:rPr>
                <w:color w:val="000000"/>
                <w:sz w:val="20"/>
                <w:szCs w:val="20"/>
              </w:rPr>
            </w:pPr>
            <w:r w:rsidRPr="00CD417C">
              <w:rPr>
                <w:color w:val="000000"/>
                <w:sz w:val="20"/>
                <w:szCs w:val="20"/>
              </w:rPr>
              <w:t>486,</w:t>
            </w:r>
            <w:r w:rsidR="00D57ADF" w:rsidRPr="00CD417C">
              <w:rPr>
                <w:color w:val="000000"/>
                <w:sz w:val="20"/>
                <w:szCs w:val="20"/>
              </w:rPr>
              <w:t>5</w:t>
            </w:r>
          </w:p>
        </w:tc>
      </w:tr>
      <w:tr w:rsidR="00322090" w:rsidRPr="005E2BA1" w:rsidTr="005E2BA1">
        <w:trPr>
          <w:trHeight w:val="649"/>
        </w:trPr>
        <w:tc>
          <w:tcPr>
            <w:tcW w:w="934" w:type="dxa"/>
            <w:tcBorders>
              <w:top w:val="single" w:sz="6" w:space="0" w:color="auto"/>
              <w:left w:val="single" w:sz="6" w:space="0" w:color="auto"/>
              <w:bottom w:val="single" w:sz="6" w:space="0" w:color="auto"/>
              <w:right w:val="single" w:sz="6" w:space="0" w:color="auto"/>
            </w:tcBorders>
            <w:shd w:val="clear" w:color="auto" w:fill="EEECE1"/>
            <w:vAlign w:val="center"/>
          </w:tcPr>
          <w:p w:rsidR="00322090" w:rsidRPr="00CD417C" w:rsidRDefault="0081055F" w:rsidP="0081055F">
            <w:pPr>
              <w:autoSpaceDE w:val="0"/>
              <w:autoSpaceDN w:val="0"/>
              <w:adjustRightInd w:val="0"/>
              <w:jc w:val="center"/>
              <w:rPr>
                <w:b/>
                <w:bCs/>
                <w:color w:val="000000"/>
                <w:sz w:val="20"/>
                <w:szCs w:val="20"/>
              </w:rPr>
            </w:pPr>
            <w:r w:rsidRPr="00CD417C">
              <w:rPr>
                <w:b/>
                <w:bCs/>
                <w:color w:val="000000"/>
                <w:sz w:val="20"/>
                <w:szCs w:val="20"/>
              </w:rPr>
              <w:t>Celkem</w:t>
            </w:r>
          </w:p>
        </w:tc>
        <w:tc>
          <w:tcPr>
            <w:tcW w:w="1207" w:type="dxa"/>
            <w:tcBorders>
              <w:top w:val="single" w:sz="6" w:space="0" w:color="auto"/>
              <w:left w:val="single" w:sz="6" w:space="0" w:color="auto"/>
              <w:bottom w:val="single" w:sz="6" w:space="0" w:color="auto"/>
              <w:right w:val="single" w:sz="6" w:space="0" w:color="auto"/>
            </w:tcBorders>
            <w:shd w:val="clear" w:color="auto" w:fill="EEECE1"/>
            <w:vAlign w:val="center"/>
          </w:tcPr>
          <w:p w:rsidR="00322090" w:rsidRPr="00CD417C" w:rsidRDefault="00322090" w:rsidP="00D62D16">
            <w:pPr>
              <w:autoSpaceDE w:val="0"/>
              <w:autoSpaceDN w:val="0"/>
              <w:adjustRightInd w:val="0"/>
              <w:jc w:val="right"/>
              <w:rPr>
                <w:b/>
                <w:bCs/>
                <w:color w:val="000000"/>
                <w:sz w:val="20"/>
                <w:szCs w:val="20"/>
              </w:rPr>
            </w:pPr>
            <w:r w:rsidRPr="00CD417C">
              <w:rPr>
                <w:b/>
                <w:bCs/>
                <w:color w:val="000000"/>
                <w:sz w:val="20"/>
                <w:szCs w:val="20"/>
              </w:rPr>
              <w:t>712</w:t>
            </w:r>
            <w:r w:rsidR="00D62D16">
              <w:rPr>
                <w:b/>
                <w:bCs/>
                <w:color w:val="000000"/>
                <w:sz w:val="20"/>
                <w:szCs w:val="20"/>
              </w:rPr>
              <w:t>.</w:t>
            </w:r>
            <w:r w:rsidRPr="00CD417C">
              <w:rPr>
                <w:b/>
                <w:bCs/>
                <w:color w:val="000000"/>
                <w:sz w:val="20"/>
                <w:szCs w:val="20"/>
              </w:rPr>
              <w:t>458,3</w:t>
            </w:r>
          </w:p>
        </w:tc>
        <w:tc>
          <w:tcPr>
            <w:tcW w:w="1207" w:type="dxa"/>
            <w:tcBorders>
              <w:top w:val="single" w:sz="6" w:space="0" w:color="auto"/>
              <w:left w:val="single" w:sz="6" w:space="0" w:color="auto"/>
              <w:bottom w:val="single" w:sz="6" w:space="0" w:color="auto"/>
              <w:right w:val="single" w:sz="6" w:space="0" w:color="auto"/>
            </w:tcBorders>
            <w:shd w:val="clear" w:color="auto" w:fill="EEECE1"/>
            <w:vAlign w:val="center"/>
          </w:tcPr>
          <w:p w:rsidR="00322090" w:rsidRPr="00CD417C" w:rsidRDefault="00322090" w:rsidP="00D62D16">
            <w:pPr>
              <w:autoSpaceDE w:val="0"/>
              <w:autoSpaceDN w:val="0"/>
              <w:adjustRightInd w:val="0"/>
              <w:jc w:val="right"/>
              <w:rPr>
                <w:b/>
                <w:bCs/>
                <w:color w:val="000000"/>
                <w:sz w:val="20"/>
                <w:szCs w:val="20"/>
              </w:rPr>
            </w:pPr>
            <w:r w:rsidRPr="00CD417C">
              <w:rPr>
                <w:b/>
                <w:bCs/>
                <w:color w:val="000000"/>
                <w:sz w:val="20"/>
                <w:szCs w:val="20"/>
              </w:rPr>
              <w:t>799</w:t>
            </w:r>
            <w:r w:rsidR="00D62D16">
              <w:rPr>
                <w:b/>
                <w:bCs/>
                <w:color w:val="000000"/>
                <w:sz w:val="20"/>
                <w:szCs w:val="20"/>
              </w:rPr>
              <w:t>.</w:t>
            </w:r>
            <w:r w:rsidRPr="00CD417C">
              <w:rPr>
                <w:b/>
                <w:bCs/>
                <w:color w:val="000000"/>
                <w:sz w:val="20"/>
                <w:szCs w:val="20"/>
              </w:rPr>
              <w:t>961,0</w:t>
            </w:r>
          </w:p>
        </w:tc>
        <w:tc>
          <w:tcPr>
            <w:tcW w:w="935" w:type="dxa"/>
            <w:tcBorders>
              <w:top w:val="single" w:sz="6" w:space="0" w:color="auto"/>
              <w:left w:val="single" w:sz="6" w:space="0" w:color="auto"/>
              <w:bottom w:val="single" w:sz="6" w:space="0" w:color="auto"/>
              <w:right w:val="single" w:sz="6" w:space="0" w:color="auto"/>
            </w:tcBorders>
            <w:shd w:val="clear" w:color="auto" w:fill="EEECE1"/>
            <w:vAlign w:val="center"/>
          </w:tcPr>
          <w:p w:rsidR="00322090" w:rsidRPr="00CD417C" w:rsidRDefault="00322090" w:rsidP="00D62D16">
            <w:pPr>
              <w:autoSpaceDE w:val="0"/>
              <w:autoSpaceDN w:val="0"/>
              <w:adjustRightInd w:val="0"/>
              <w:jc w:val="center"/>
              <w:rPr>
                <w:b/>
                <w:bCs/>
                <w:color w:val="000000"/>
                <w:sz w:val="20"/>
                <w:szCs w:val="20"/>
              </w:rPr>
            </w:pPr>
            <w:r w:rsidRPr="00CD417C">
              <w:rPr>
                <w:b/>
                <w:bCs/>
                <w:color w:val="000000"/>
                <w:sz w:val="20"/>
                <w:szCs w:val="20"/>
              </w:rPr>
              <w:t>100,0%</w:t>
            </w:r>
          </w:p>
        </w:tc>
        <w:tc>
          <w:tcPr>
            <w:tcW w:w="1276" w:type="dxa"/>
            <w:tcBorders>
              <w:top w:val="single" w:sz="6" w:space="0" w:color="auto"/>
              <w:left w:val="single" w:sz="6" w:space="0" w:color="auto"/>
              <w:bottom w:val="single" w:sz="6" w:space="0" w:color="auto"/>
              <w:right w:val="single" w:sz="6" w:space="0" w:color="auto"/>
            </w:tcBorders>
            <w:shd w:val="clear" w:color="auto" w:fill="EEECE1"/>
            <w:vAlign w:val="center"/>
          </w:tcPr>
          <w:p w:rsidR="00322090" w:rsidRPr="00CD417C" w:rsidRDefault="00322090" w:rsidP="00D62D16">
            <w:pPr>
              <w:autoSpaceDE w:val="0"/>
              <w:autoSpaceDN w:val="0"/>
              <w:adjustRightInd w:val="0"/>
              <w:jc w:val="right"/>
              <w:rPr>
                <w:b/>
                <w:bCs/>
                <w:color w:val="000000"/>
                <w:sz w:val="20"/>
                <w:szCs w:val="20"/>
              </w:rPr>
            </w:pPr>
            <w:r w:rsidRPr="00CD417C">
              <w:rPr>
                <w:b/>
                <w:bCs/>
                <w:color w:val="000000"/>
                <w:sz w:val="20"/>
                <w:szCs w:val="20"/>
              </w:rPr>
              <w:t>681</w:t>
            </w:r>
            <w:r w:rsidR="00D62D16">
              <w:rPr>
                <w:b/>
                <w:bCs/>
                <w:color w:val="000000"/>
                <w:sz w:val="20"/>
                <w:szCs w:val="20"/>
              </w:rPr>
              <w:t>.</w:t>
            </w:r>
            <w:r w:rsidRPr="00CD417C">
              <w:rPr>
                <w:b/>
                <w:bCs/>
                <w:color w:val="000000"/>
                <w:sz w:val="20"/>
                <w:szCs w:val="20"/>
              </w:rPr>
              <w:t>344,1</w:t>
            </w:r>
          </w:p>
        </w:tc>
        <w:tc>
          <w:tcPr>
            <w:tcW w:w="1134" w:type="dxa"/>
            <w:tcBorders>
              <w:top w:val="single" w:sz="6" w:space="0" w:color="auto"/>
              <w:left w:val="single" w:sz="6" w:space="0" w:color="auto"/>
              <w:bottom w:val="single" w:sz="6" w:space="0" w:color="auto"/>
              <w:right w:val="single" w:sz="6" w:space="0" w:color="auto"/>
            </w:tcBorders>
            <w:shd w:val="clear" w:color="auto" w:fill="EEECE1"/>
            <w:vAlign w:val="center"/>
          </w:tcPr>
          <w:p w:rsidR="00322090" w:rsidRPr="00CD417C" w:rsidRDefault="00322090" w:rsidP="00D62D16">
            <w:pPr>
              <w:autoSpaceDE w:val="0"/>
              <w:autoSpaceDN w:val="0"/>
              <w:adjustRightInd w:val="0"/>
              <w:jc w:val="center"/>
              <w:rPr>
                <w:b/>
                <w:bCs/>
                <w:color w:val="000000"/>
                <w:sz w:val="20"/>
                <w:szCs w:val="20"/>
              </w:rPr>
            </w:pPr>
            <w:r w:rsidRPr="00CD417C">
              <w:rPr>
                <w:b/>
                <w:bCs/>
                <w:color w:val="000000"/>
                <w:sz w:val="20"/>
                <w:szCs w:val="20"/>
              </w:rPr>
              <w:t>100,0%</w:t>
            </w:r>
          </w:p>
        </w:tc>
        <w:tc>
          <w:tcPr>
            <w:tcW w:w="1134" w:type="dxa"/>
            <w:tcBorders>
              <w:top w:val="single" w:sz="6" w:space="0" w:color="auto"/>
              <w:left w:val="single" w:sz="6" w:space="0" w:color="auto"/>
              <w:bottom w:val="single" w:sz="6" w:space="0" w:color="auto"/>
              <w:right w:val="single" w:sz="6" w:space="0" w:color="auto"/>
            </w:tcBorders>
            <w:shd w:val="clear" w:color="auto" w:fill="EEECE1"/>
            <w:vAlign w:val="center"/>
          </w:tcPr>
          <w:p w:rsidR="00322090" w:rsidRPr="00CD417C" w:rsidRDefault="00322090" w:rsidP="00D62D16">
            <w:pPr>
              <w:autoSpaceDE w:val="0"/>
              <w:autoSpaceDN w:val="0"/>
              <w:adjustRightInd w:val="0"/>
              <w:jc w:val="center"/>
              <w:rPr>
                <w:b/>
                <w:bCs/>
                <w:color w:val="000000"/>
                <w:sz w:val="20"/>
                <w:szCs w:val="20"/>
              </w:rPr>
            </w:pPr>
            <w:r w:rsidRPr="00CD417C">
              <w:rPr>
                <w:b/>
                <w:bCs/>
                <w:color w:val="000000"/>
                <w:sz w:val="20"/>
                <w:szCs w:val="20"/>
              </w:rPr>
              <w:t>85,2%</w:t>
            </w:r>
          </w:p>
        </w:tc>
        <w:tc>
          <w:tcPr>
            <w:tcW w:w="1275" w:type="dxa"/>
            <w:tcBorders>
              <w:top w:val="single" w:sz="6" w:space="0" w:color="auto"/>
              <w:left w:val="single" w:sz="6" w:space="0" w:color="auto"/>
              <w:bottom w:val="single" w:sz="6" w:space="0" w:color="auto"/>
              <w:right w:val="single" w:sz="6" w:space="0" w:color="auto"/>
            </w:tcBorders>
            <w:shd w:val="clear" w:color="auto" w:fill="EEECE1"/>
            <w:vAlign w:val="center"/>
          </w:tcPr>
          <w:p w:rsidR="00322090" w:rsidRPr="00CD417C" w:rsidRDefault="00322090" w:rsidP="00D62D16">
            <w:pPr>
              <w:autoSpaceDE w:val="0"/>
              <w:autoSpaceDN w:val="0"/>
              <w:adjustRightInd w:val="0"/>
              <w:jc w:val="right"/>
              <w:rPr>
                <w:b/>
                <w:bCs/>
                <w:color w:val="000000"/>
                <w:sz w:val="20"/>
                <w:szCs w:val="20"/>
              </w:rPr>
            </w:pPr>
            <w:r w:rsidRPr="00CD417C">
              <w:rPr>
                <w:b/>
                <w:bCs/>
                <w:color w:val="000000"/>
                <w:sz w:val="20"/>
                <w:szCs w:val="20"/>
              </w:rPr>
              <w:t>592</w:t>
            </w:r>
            <w:r w:rsidR="00D62D16">
              <w:rPr>
                <w:b/>
                <w:bCs/>
                <w:color w:val="000000"/>
                <w:sz w:val="20"/>
                <w:szCs w:val="20"/>
              </w:rPr>
              <w:t>.</w:t>
            </w:r>
            <w:r w:rsidRPr="00CD417C">
              <w:rPr>
                <w:b/>
                <w:bCs/>
                <w:color w:val="000000"/>
                <w:sz w:val="20"/>
                <w:szCs w:val="20"/>
              </w:rPr>
              <w:t>956,</w:t>
            </w:r>
            <w:r w:rsidR="00D57ADF" w:rsidRPr="00CD417C">
              <w:rPr>
                <w:b/>
                <w:bCs/>
                <w:color w:val="000000"/>
                <w:sz w:val="20"/>
                <w:szCs w:val="20"/>
              </w:rPr>
              <w:t>4</w:t>
            </w:r>
          </w:p>
        </w:tc>
      </w:tr>
    </w:tbl>
    <w:p w:rsidR="00C32FF4" w:rsidRPr="005E2BA1" w:rsidRDefault="00C32FF4" w:rsidP="00F84FE7">
      <w:pPr>
        <w:jc w:val="both"/>
        <w:rPr>
          <w:b/>
          <w:i/>
          <w:noProof/>
          <w:sz w:val="22"/>
          <w:szCs w:val="22"/>
        </w:rPr>
      </w:pPr>
    </w:p>
    <w:p w:rsidR="00BB3914" w:rsidRDefault="00CE6406" w:rsidP="00F84FE7">
      <w:pPr>
        <w:jc w:val="both"/>
        <w:rPr>
          <w:sz w:val="22"/>
          <w:szCs w:val="22"/>
        </w:rPr>
      </w:pPr>
      <w:r>
        <w:rPr>
          <w:sz w:val="22"/>
          <w:szCs w:val="22"/>
        </w:rPr>
        <w:t xml:space="preserve">V příloze č. </w:t>
      </w:r>
      <w:r w:rsidR="00226B00">
        <w:rPr>
          <w:sz w:val="22"/>
          <w:szCs w:val="22"/>
        </w:rPr>
        <w:t>3</w:t>
      </w:r>
      <w:r>
        <w:rPr>
          <w:sz w:val="22"/>
          <w:szCs w:val="22"/>
        </w:rPr>
        <w:t xml:space="preserve"> je uveden podrobný přehled </w:t>
      </w:r>
      <w:r w:rsidR="00FF2FF1">
        <w:rPr>
          <w:sz w:val="22"/>
          <w:szCs w:val="22"/>
        </w:rPr>
        <w:t>výdajů dle jednotlivých podkapitol rozpočtu, v členění na neinvestiční výdaje, investiční výdaje a gran</w:t>
      </w:r>
      <w:r w:rsidR="00C01D25">
        <w:rPr>
          <w:sz w:val="22"/>
          <w:szCs w:val="22"/>
        </w:rPr>
        <w:t>ty.</w:t>
      </w:r>
    </w:p>
    <w:p w:rsidR="00F86DB9" w:rsidRDefault="00F86DB9" w:rsidP="000232F4">
      <w:pPr>
        <w:jc w:val="both"/>
        <w:rPr>
          <w:rFonts w:eastAsia="Arial Unicode MS"/>
        </w:rPr>
      </w:pPr>
    </w:p>
    <w:p w:rsidR="00607F23" w:rsidRPr="001C1568" w:rsidRDefault="00F86DB9" w:rsidP="000232F4">
      <w:pPr>
        <w:jc w:val="both"/>
        <w:rPr>
          <w:rFonts w:eastAsia="Arial Unicode MS"/>
          <w:b/>
          <w:i/>
          <w:sz w:val="22"/>
          <w:szCs w:val="22"/>
        </w:rPr>
      </w:pPr>
      <w:r w:rsidRPr="001C1568">
        <w:rPr>
          <w:rFonts w:eastAsia="Arial Unicode MS"/>
          <w:b/>
          <w:i/>
          <w:sz w:val="22"/>
          <w:szCs w:val="22"/>
        </w:rPr>
        <w:t>Komentář k jednotlivým kapitolám</w:t>
      </w:r>
      <w:r w:rsidR="00FC7329" w:rsidRPr="001C1568">
        <w:rPr>
          <w:rFonts w:eastAsia="Arial Unicode MS"/>
          <w:b/>
          <w:i/>
          <w:sz w:val="22"/>
          <w:szCs w:val="22"/>
        </w:rPr>
        <w:t xml:space="preserve"> rozpočtu:</w:t>
      </w:r>
    </w:p>
    <w:p w:rsidR="00EA5DAA" w:rsidRPr="00696CDF" w:rsidRDefault="00EA5DAA" w:rsidP="000232F4">
      <w:pPr>
        <w:jc w:val="both"/>
        <w:rPr>
          <w:rFonts w:eastAsia="Arial Unicode MS"/>
          <w:b/>
          <w:i/>
          <w:sz w:val="22"/>
          <w:szCs w:val="22"/>
        </w:rPr>
      </w:pPr>
    </w:p>
    <w:p w:rsidR="00586021" w:rsidRDefault="004A0F1C" w:rsidP="003E450D">
      <w:pPr>
        <w:pStyle w:val="Nadpis5"/>
      </w:pPr>
      <w:bookmarkStart w:id="17" w:name="_Toc385875204"/>
      <w:bookmarkStart w:id="18" w:name="_Toc87955894"/>
      <w:bookmarkStart w:id="19" w:name="_Toc102809062"/>
      <w:r>
        <w:t>Kapitola</w:t>
      </w:r>
      <w:r w:rsidR="00F07880" w:rsidRPr="003A6D73">
        <w:t xml:space="preserve"> 01</w:t>
      </w:r>
      <w:r w:rsidR="00F07880">
        <w:tab/>
      </w:r>
      <w:r w:rsidR="00586021" w:rsidRPr="003A6D73">
        <w:t>Ú</w:t>
      </w:r>
      <w:r w:rsidR="00F07880">
        <w:t>zemní rozhodování a rozvoj bydlení</w:t>
      </w:r>
      <w:bookmarkEnd w:id="17"/>
    </w:p>
    <w:p w:rsidR="00D01F0B" w:rsidRPr="00D01F0B" w:rsidRDefault="00D01F0B" w:rsidP="00D01F0B"/>
    <w:p w:rsidR="00360BEA" w:rsidRDefault="00586021" w:rsidP="00586021">
      <w:pPr>
        <w:jc w:val="both"/>
        <w:rPr>
          <w:sz w:val="22"/>
          <w:szCs w:val="22"/>
        </w:rPr>
      </w:pPr>
      <w:r>
        <w:rPr>
          <w:sz w:val="22"/>
          <w:szCs w:val="22"/>
        </w:rPr>
        <w:t xml:space="preserve">Celkové výdaje byly ve výši 3.780,4 </w:t>
      </w:r>
      <w:r w:rsidR="005E1108">
        <w:rPr>
          <w:sz w:val="22"/>
          <w:szCs w:val="22"/>
        </w:rPr>
        <w:t>tis. Kč</w:t>
      </w:r>
      <w:r>
        <w:rPr>
          <w:sz w:val="22"/>
          <w:szCs w:val="22"/>
        </w:rPr>
        <w:t xml:space="preserve">. Z největší části se jedná o výdaje </w:t>
      </w:r>
      <w:r w:rsidR="00247B97">
        <w:rPr>
          <w:sz w:val="22"/>
          <w:szCs w:val="22"/>
        </w:rPr>
        <w:t>pod</w:t>
      </w:r>
      <w:r>
        <w:rPr>
          <w:sz w:val="22"/>
          <w:szCs w:val="22"/>
        </w:rPr>
        <w:t>kap</w:t>
      </w:r>
      <w:r w:rsidR="00123347">
        <w:rPr>
          <w:sz w:val="22"/>
          <w:szCs w:val="22"/>
        </w:rPr>
        <w:t>itoly</w:t>
      </w:r>
      <w:r>
        <w:rPr>
          <w:sz w:val="22"/>
          <w:szCs w:val="22"/>
        </w:rPr>
        <w:t xml:space="preserve"> 0150 – kancelář architekta, kde bylo ve sledovaném období vynaloženo celkem 2.586,1 </w:t>
      </w:r>
      <w:r w:rsidR="005E1108">
        <w:rPr>
          <w:sz w:val="22"/>
          <w:szCs w:val="22"/>
        </w:rPr>
        <w:t>tis. Kč</w:t>
      </w:r>
      <w:r>
        <w:rPr>
          <w:sz w:val="22"/>
          <w:szCs w:val="22"/>
        </w:rPr>
        <w:t xml:space="preserve"> a to zejména na tyto akce: studie Parku Barrandov – podklad pro změny územního plánu 114,9 </w:t>
      </w:r>
      <w:r w:rsidR="005E1108">
        <w:rPr>
          <w:sz w:val="22"/>
          <w:szCs w:val="22"/>
        </w:rPr>
        <w:t>tis. Kč</w:t>
      </w:r>
      <w:r>
        <w:rPr>
          <w:sz w:val="22"/>
          <w:szCs w:val="22"/>
        </w:rPr>
        <w:t xml:space="preserve">, rozvaha o charakteru území MČ Praha 5 (236 </w:t>
      </w:r>
      <w:r w:rsidR="005E1108">
        <w:rPr>
          <w:sz w:val="22"/>
          <w:szCs w:val="22"/>
        </w:rPr>
        <w:t>tis. Kč</w:t>
      </w:r>
      <w:r>
        <w:rPr>
          <w:sz w:val="22"/>
          <w:szCs w:val="22"/>
        </w:rPr>
        <w:t xml:space="preserve">), Nádražní – Strakonická dopravní studie </w:t>
      </w:r>
      <w:r w:rsidR="00360BEA">
        <w:rPr>
          <w:sz w:val="22"/>
          <w:szCs w:val="22"/>
        </w:rPr>
        <w:t>(</w:t>
      </w:r>
      <w:r>
        <w:rPr>
          <w:sz w:val="22"/>
          <w:szCs w:val="22"/>
        </w:rPr>
        <w:t xml:space="preserve">229,9 </w:t>
      </w:r>
      <w:r w:rsidR="005E1108">
        <w:rPr>
          <w:sz w:val="22"/>
          <w:szCs w:val="22"/>
        </w:rPr>
        <w:t>tis. Kč</w:t>
      </w:r>
      <w:r>
        <w:rPr>
          <w:sz w:val="22"/>
          <w:szCs w:val="22"/>
        </w:rPr>
        <w:t xml:space="preserve">), urbanizace území jižně od ul. Moulíkova, studie (229,9 </w:t>
      </w:r>
      <w:r w:rsidR="005E1108">
        <w:rPr>
          <w:sz w:val="22"/>
          <w:szCs w:val="22"/>
        </w:rPr>
        <w:t>tis. Kč</w:t>
      </w:r>
      <w:r>
        <w:rPr>
          <w:sz w:val="22"/>
          <w:szCs w:val="22"/>
        </w:rPr>
        <w:t xml:space="preserve">), Motol Kukulova, studie Motolské skládky, cyklopark (774,4 </w:t>
      </w:r>
      <w:r w:rsidR="005E1108">
        <w:rPr>
          <w:sz w:val="22"/>
          <w:szCs w:val="22"/>
        </w:rPr>
        <w:t>tis. Kč</w:t>
      </w:r>
      <w:r>
        <w:rPr>
          <w:sz w:val="22"/>
          <w:szCs w:val="22"/>
        </w:rPr>
        <w:t>), bydlení pro seniory Hlubočepy (589,</w:t>
      </w:r>
      <w:r w:rsidR="00DC2ADE">
        <w:rPr>
          <w:sz w:val="22"/>
          <w:szCs w:val="22"/>
        </w:rPr>
        <w:t>3</w:t>
      </w:r>
      <w:r>
        <w:rPr>
          <w:sz w:val="22"/>
          <w:szCs w:val="22"/>
        </w:rPr>
        <w:t xml:space="preserve"> </w:t>
      </w:r>
      <w:r w:rsidR="005E1108">
        <w:rPr>
          <w:sz w:val="22"/>
          <w:szCs w:val="22"/>
        </w:rPr>
        <w:t>tis. Kč</w:t>
      </w:r>
      <w:r w:rsidR="00D73B33">
        <w:rPr>
          <w:sz w:val="22"/>
          <w:szCs w:val="22"/>
        </w:rPr>
        <w:t>) a další.</w:t>
      </w:r>
    </w:p>
    <w:p w:rsidR="00D73B33" w:rsidRDefault="00586021" w:rsidP="00586021">
      <w:pPr>
        <w:jc w:val="both"/>
        <w:rPr>
          <w:sz w:val="22"/>
          <w:szCs w:val="22"/>
        </w:rPr>
      </w:pPr>
      <w:r>
        <w:rPr>
          <w:sz w:val="22"/>
          <w:szCs w:val="22"/>
        </w:rPr>
        <w:t xml:space="preserve">Na </w:t>
      </w:r>
      <w:r w:rsidR="00360BEA">
        <w:rPr>
          <w:sz w:val="22"/>
          <w:szCs w:val="22"/>
        </w:rPr>
        <w:t>pod</w:t>
      </w:r>
      <w:r>
        <w:rPr>
          <w:sz w:val="22"/>
          <w:szCs w:val="22"/>
        </w:rPr>
        <w:t>kap</w:t>
      </w:r>
      <w:r w:rsidR="00D73B33">
        <w:rPr>
          <w:sz w:val="22"/>
          <w:szCs w:val="22"/>
        </w:rPr>
        <w:t>itole</w:t>
      </w:r>
      <w:r>
        <w:rPr>
          <w:sz w:val="22"/>
          <w:szCs w:val="22"/>
        </w:rPr>
        <w:t xml:space="preserve"> 0102 – odbor obchodních aktivit bylo vyčerpáno celkem 646,8 </w:t>
      </w:r>
      <w:r w:rsidR="005E1108">
        <w:rPr>
          <w:sz w:val="22"/>
          <w:szCs w:val="22"/>
        </w:rPr>
        <w:t>tis. Kč</w:t>
      </w:r>
      <w:r>
        <w:rPr>
          <w:sz w:val="22"/>
          <w:szCs w:val="22"/>
        </w:rPr>
        <w:t>,</w:t>
      </w:r>
      <w:r w:rsidR="00247B97">
        <w:rPr>
          <w:sz w:val="22"/>
          <w:szCs w:val="22"/>
        </w:rPr>
        <w:t xml:space="preserve"> výdaje byly určeny </w:t>
      </w:r>
      <w:r w:rsidR="00247B97" w:rsidRPr="00ED1391">
        <w:rPr>
          <w:sz w:val="22"/>
          <w:szCs w:val="22"/>
        </w:rPr>
        <w:t xml:space="preserve">na </w:t>
      </w:r>
      <w:r w:rsidR="00ED1391" w:rsidRPr="00ED1391">
        <w:rPr>
          <w:sz w:val="22"/>
          <w:szCs w:val="22"/>
        </w:rPr>
        <w:t>pronájm</w:t>
      </w:r>
      <w:r w:rsidR="00ED1391">
        <w:rPr>
          <w:sz w:val="22"/>
          <w:szCs w:val="22"/>
        </w:rPr>
        <w:t>y</w:t>
      </w:r>
      <w:r w:rsidR="00ED1391" w:rsidRPr="00ED1391">
        <w:rPr>
          <w:sz w:val="22"/>
          <w:szCs w:val="22"/>
        </w:rPr>
        <w:t xml:space="preserve"> pozemků</w:t>
      </w:r>
      <w:r w:rsidR="00ED1391">
        <w:rPr>
          <w:sz w:val="22"/>
          <w:szCs w:val="22"/>
        </w:rPr>
        <w:t>,</w:t>
      </w:r>
      <w:r>
        <w:rPr>
          <w:sz w:val="22"/>
          <w:szCs w:val="22"/>
        </w:rPr>
        <w:t xml:space="preserve"> čerpání finančních prostředků se řídí uzavřenými nájemními smlouv</w:t>
      </w:r>
      <w:r>
        <w:rPr>
          <w:sz w:val="22"/>
          <w:szCs w:val="22"/>
        </w:rPr>
        <w:t>a</w:t>
      </w:r>
      <w:r>
        <w:rPr>
          <w:sz w:val="22"/>
          <w:szCs w:val="22"/>
        </w:rPr>
        <w:t xml:space="preserve">mi. </w:t>
      </w:r>
      <w:r w:rsidR="00FA5CBF">
        <w:rPr>
          <w:sz w:val="22"/>
          <w:szCs w:val="22"/>
        </w:rPr>
        <w:t>Jedná se o pozemky, které nejsou majetkem městské části, má je pouze pronajaté.</w:t>
      </w:r>
    </w:p>
    <w:p w:rsidR="00586021" w:rsidRPr="004C2880" w:rsidRDefault="00586021" w:rsidP="00586021">
      <w:pPr>
        <w:jc w:val="both"/>
        <w:rPr>
          <w:sz w:val="22"/>
          <w:szCs w:val="22"/>
        </w:rPr>
      </w:pPr>
      <w:r>
        <w:rPr>
          <w:sz w:val="22"/>
          <w:szCs w:val="22"/>
        </w:rPr>
        <w:t>V</w:t>
      </w:r>
      <w:r w:rsidRPr="00366F64">
        <w:rPr>
          <w:sz w:val="22"/>
          <w:szCs w:val="22"/>
        </w:rPr>
        <w:t> podkapitole 014</w:t>
      </w:r>
      <w:r>
        <w:rPr>
          <w:sz w:val="22"/>
          <w:szCs w:val="22"/>
        </w:rPr>
        <w:t>3</w:t>
      </w:r>
      <w:r w:rsidRPr="00366F64">
        <w:rPr>
          <w:sz w:val="22"/>
          <w:szCs w:val="22"/>
        </w:rPr>
        <w:t xml:space="preserve"> bylo čerpáno </w:t>
      </w:r>
      <w:r>
        <w:rPr>
          <w:sz w:val="22"/>
          <w:szCs w:val="22"/>
        </w:rPr>
        <w:t>547,5</w:t>
      </w:r>
      <w:r w:rsidRPr="00366F64">
        <w:rPr>
          <w:sz w:val="22"/>
          <w:szCs w:val="22"/>
        </w:rPr>
        <w:t xml:space="preserve"> </w:t>
      </w:r>
      <w:r w:rsidR="005E1108">
        <w:rPr>
          <w:sz w:val="22"/>
          <w:szCs w:val="22"/>
        </w:rPr>
        <w:t>tis. Kč</w:t>
      </w:r>
      <w:r w:rsidRPr="004C2880">
        <w:rPr>
          <w:sz w:val="22"/>
          <w:szCs w:val="22"/>
        </w:rPr>
        <w:t>,</w:t>
      </w:r>
      <w:r>
        <w:rPr>
          <w:sz w:val="22"/>
          <w:szCs w:val="22"/>
        </w:rPr>
        <w:t xml:space="preserve"> jedná se </w:t>
      </w:r>
      <w:r w:rsidR="007F4742">
        <w:rPr>
          <w:sz w:val="22"/>
          <w:szCs w:val="22"/>
        </w:rPr>
        <w:t xml:space="preserve">o </w:t>
      </w:r>
      <w:r>
        <w:rPr>
          <w:sz w:val="22"/>
          <w:szCs w:val="22"/>
        </w:rPr>
        <w:t>odměnu za založení SVJ (společenství vlastníků jednotek</w:t>
      </w:r>
      <w:r w:rsidR="00360BEA">
        <w:rPr>
          <w:sz w:val="22"/>
          <w:szCs w:val="22"/>
        </w:rPr>
        <w:t>), poznámka: s novým občanským zákoníkem se již SVJ nazývají společenství vlastníků.</w:t>
      </w:r>
      <w:r>
        <w:rPr>
          <w:sz w:val="22"/>
          <w:szCs w:val="22"/>
        </w:rPr>
        <w:t xml:space="preserve"> Celkem bylo v roce 2013 založeno 31 SVJ v privatizovaných domech. </w:t>
      </w:r>
      <w:r w:rsidRPr="004C2880">
        <w:rPr>
          <w:sz w:val="22"/>
          <w:szCs w:val="22"/>
        </w:rPr>
        <w:t xml:space="preserve">Na celkovém objemu výdajů se podílí </w:t>
      </w:r>
      <w:r w:rsidR="00DF5130">
        <w:rPr>
          <w:sz w:val="22"/>
          <w:szCs w:val="22"/>
        </w:rPr>
        <w:t>tato kapitola</w:t>
      </w:r>
      <w:r w:rsidRPr="004C2880">
        <w:rPr>
          <w:sz w:val="22"/>
          <w:szCs w:val="22"/>
        </w:rPr>
        <w:t xml:space="preserve"> </w:t>
      </w:r>
      <w:r>
        <w:rPr>
          <w:sz w:val="22"/>
          <w:szCs w:val="22"/>
        </w:rPr>
        <w:t>0,</w:t>
      </w:r>
      <w:r w:rsidR="009A14F0">
        <w:rPr>
          <w:sz w:val="22"/>
          <w:szCs w:val="22"/>
        </w:rPr>
        <w:t>6</w:t>
      </w:r>
      <w:r w:rsidRPr="004C2880">
        <w:rPr>
          <w:sz w:val="22"/>
          <w:szCs w:val="22"/>
        </w:rPr>
        <w:t xml:space="preserve"> %.</w:t>
      </w:r>
    </w:p>
    <w:p w:rsidR="00AC546B" w:rsidRDefault="00AC546B" w:rsidP="00AC546B">
      <w:pPr>
        <w:jc w:val="both"/>
        <w:rPr>
          <w:color w:val="000000"/>
          <w:sz w:val="22"/>
          <w:szCs w:val="22"/>
          <w:highlight w:val="yellow"/>
          <w:u w:val="single"/>
        </w:rPr>
      </w:pPr>
    </w:p>
    <w:p w:rsidR="00AC546B" w:rsidRPr="003A6D73" w:rsidRDefault="004A0F1C" w:rsidP="003E450D">
      <w:pPr>
        <w:pStyle w:val="Nadpis5"/>
      </w:pPr>
      <w:bookmarkStart w:id="20" w:name="_Toc385875205"/>
      <w:r>
        <w:t>Kapitola</w:t>
      </w:r>
      <w:r w:rsidR="00F07880" w:rsidRPr="003A6D73">
        <w:t xml:space="preserve"> 02</w:t>
      </w:r>
      <w:r w:rsidR="00F07880">
        <w:tab/>
      </w:r>
      <w:r w:rsidR="00AC546B" w:rsidRPr="003A6D73">
        <w:t>M</w:t>
      </w:r>
      <w:r w:rsidR="00F07880">
        <w:t>ěstská zeleň a ochrana životního prostředí</w:t>
      </w:r>
      <w:bookmarkEnd w:id="20"/>
    </w:p>
    <w:p w:rsidR="003A6D73" w:rsidRDefault="003A6D73" w:rsidP="00AC546B">
      <w:pPr>
        <w:jc w:val="both"/>
        <w:rPr>
          <w:color w:val="000000"/>
          <w:sz w:val="22"/>
          <w:szCs w:val="22"/>
        </w:rPr>
      </w:pPr>
    </w:p>
    <w:p w:rsidR="00AC546B" w:rsidRDefault="00AC546B" w:rsidP="00AC546B">
      <w:pPr>
        <w:jc w:val="both"/>
        <w:rPr>
          <w:color w:val="000000"/>
          <w:sz w:val="22"/>
          <w:szCs w:val="22"/>
        </w:rPr>
      </w:pPr>
      <w:r>
        <w:rPr>
          <w:color w:val="000000"/>
          <w:sz w:val="22"/>
          <w:szCs w:val="22"/>
        </w:rPr>
        <w:t>Na celkovém objemu realizovaných výdajů v roce 2013 se podílí významnou měrou a to 13,5 % výd</w:t>
      </w:r>
      <w:r>
        <w:rPr>
          <w:color w:val="000000"/>
          <w:sz w:val="22"/>
          <w:szCs w:val="22"/>
        </w:rPr>
        <w:t>a</w:t>
      </w:r>
      <w:r>
        <w:rPr>
          <w:color w:val="000000"/>
          <w:sz w:val="22"/>
          <w:szCs w:val="22"/>
        </w:rPr>
        <w:t xml:space="preserve">je na městskou zeleň a ochranu životního prostředí. Schválený rozpočet ve výši 130.940 </w:t>
      </w:r>
      <w:r w:rsidR="005E1108">
        <w:rPr>
          <w:color w:val="000000"/>
          <w:sz w:val="22"/>
          <w:szCs w:val="22"/>
        </w:rPr>
        <w:t>tis. Kč</w:t>
      </w:r>
      <w:r>
        <w:rPr>
          <w:color w:val="000000"/>
          <w:sz w:val="22"/>
          <w:szCs w:val="22"/>
        </w:rPr>
        <w:t xml:space="preserve"> byl v průběhu roku snížen na 99.563,4 </w:t>
      </w:r>
      <w:r w:rsidR="005E1108">
        <w:rPr>
          <w:color w:val="000000"/>
          <w:sz w:val="22"/>
          <w:szCs w:val="22"/>
        </w:rPr>
        <w:t>tis. Kč</w:t>
      </w:r>
      <w:r>
        <w:rPr>
          <w:color w:val="000000"/>
          <w:sz w:val="22"/>
          <w:szCs w:val="22"/>
        </w:rPr>
        <w:t xml:space="preserve"> a čerpán ve výši 92.090,4 </w:t>
      </w:r>
      <w:r w:rsidR="005E1108">
        <w:rPr>
          <w:color w:val="000000"/>
          <w:sz w:val="22"/>
          <w:szCs w:val="22"/>
        </w:rPr>
        <w:t>tis. Kč</w:t>
      </w:r>
      <w:r>
        <w:rPr>
          <w:color w:val="000000"/>
          <w:sz w:val="22"/>
          <w:szCs w:val="22"/>
        </w:rPr>
        <w:t>.</w:t>
      </w:r>
    </w:p>
    <w:p w:rsidR="00D56989" w:rsidRDefault="00D56989" w:rsidP="00D56989">
      <w:pPr>
        <w:jc w:val="both"/>
        <w:rPr>
          <w:color w:val="000000"/>
          <w:sz w:val="22"/>
          <w:szCs w:val="22"/>
        </w:rPr>
      </w:pPr>
      <w:r>
        <w:rPr>
          <w:color w:val="000000"/>
          <w:sz w:val="22"/>
          <w:szCs w:val="22"/>
        </w:rPr>
        <w:t>Jedná se především o údržbu veřejné zeleně, úklidy chodníků, komunikací, obsluhu odpadkových košů, sběr a svoz odpadů, zneškodňování nebezpečných odpadů, servis podzemních kontejnerů na tříděný odpad, opravy oplocení, vodné, stočné, spotřebu elektrické energie, odchyt a kastrace koček,</w:t>
      </w:r>
      <w:r w:rsidR="00AA76C9">
        <w:rPr>
          <w:color w:val="000000"/>
          <w:sz w:val="22"/>
          <w:szCs w:val="22"/>
        </w:rPr>
        <w:t xml:space="preserve"> </w:t>
      </w:r>
      <w:r>
        <w:rPr>
          <w:color w:val="000000"/>
          <w:sz w:val="22"/>
          <w:szCs w:val="22"/>
        </w:rPr>
        <w:t>(</w:t>
      </w:r>
      <w:r w:rsidR="009753DC">
        <w:rPr>
          <w:color w:val="000000"/>
          <w:sz w:val="22"/>
          <w:szCs w:val="22"/>
        </w:rPr>
        <w:t>54.251,5</w:t>
      </w:r>
      <w:r>
        <w:rPr>
          <w:color w:val="000000"/>
          <w:sz w:val="22"/>
          <w:szCs w:val="22"/>
        </w:rPr>
        <w:t xml:space="preserve"> </w:t>
      </w:r>
      <w:r w:rsidR="005E1108">
        <w:rPr>
          <w:color w:val="000000"/>
          <w:sz w:val="22"/>
          <w:szCs w:val="22"/>
        </w:rPr>
        <w:t>tis. Kč</w:t>
      </w:r>
      <w:r>
        <w:rPr>
          <w:color w:val="000000"/>
          <w:sz w:val="22"/>
          <w:szCs w:val="22"/>
        </w:rPr>
        <w:t xml:space="preserve">), o odstraňování následků povodní (3.871,8 </w:t>
      </w:r>
      <w:r w:rsidR="005E1108">
        <w:rPr>
          <w:color w:val="000000"/>
          <w:sz w:val="22"/>
          <w:szCs w:val="22"/>
        </w:rPr>
        <w:t>tis. Kč</w:t>
      </w:r>
      <w:r>
        <w:rPr>
          <w:color w:val="000000"/>
          <w:sz w:val="22"/>
          <w:szCs w:val="22"/>
        </w:rPr>
        <w:t>) a</w:t>
      </w:r>
      <w:r w:rsidR="00AA76C9">
        <w:rPr>
          <w:color w:val="000000"/>
          <w:sz w:val="22"/>
          <w:szCs w:val="22"/>
        </w:rPr>
        <w:t xml:space="preserve"> </w:t>
      </w:r>
      <w:r>
        <w:rPr>
          <w:color w:val="000000"/>
          <w:sz w:val="22"/>
          <w:szCs w:val="22"/>
        </w:rPr>
        <w:t xml:space="preserve">správu a údržbu dětských hřišť, </w:t>
      </w:r>
      <w:r>
        <w:rPr>
          <w:color w:val="000000"/>
          <w:sz w:val="22"/>
          <w:szCs w:val="22"/>
        </w:rPr>
        <w:lastRenderedPageBreak/>
        <w:t xml:space="preserve">vodné, stočné, spotřebu elektrické energie (10.212,7 </w:t>
      </w:r>
      <w:r w:rsidR="005E1108">
        <w:rPr>
          <w:color w:val="000000"/>
          <w:sz w:val="22"/>
          <w:szCs w:val="22"/>
        </w:rPr>
        <w:t>tis. Kč</w:t>
      </w:r>
      <w:r>
        <w:rPr>
          <w:color w:val="000000"/>
          <w:sz w:val="22"/>
          <w:szCs w:val="22"/>
        </w:rPr>
        <w:t>). Na odstranění povodňových škod na dě</w:t>
      </w:r>
      <w:r>
        <w:rPr>
          <w:color w:val="000000"/>
          <w:sz w:val="22"/>
          <w:szCs w:val="22"/>
        </w:rPr>
        <w:t>t</w:t>
      </w:r>
      <w:r>
        <w:rPr>
          <w:color w:val="000000"/>
          <w:sz w:val="22"/>
          <w:szCs w:val="22"/>
        </w:rPr>
        <w:t xml:space="preserve">ských hřištích byly čerpány finanční prostředky ve výši 1.132 </w:t>
      </w:r>
      <w:r w:rsidR="005E1108">
        <w:rPr>
          <w:color w:val="000000"/>
          <w:sz w:val="22"/>
          <w:szCs w:val="22"/>
        </w:rPr>
        <w:t>tis. Kč</w:t>
      </w:r>
      <w:r>
        <w:rPr>
          <w:color w:val="000000"/>
          <w:sz w:val="22"/>
          <w:szCs w:val="22"/>
        </w:rPr>
        <w:t>.</w:t>
      </w:r>
      <w:r w:rsidR="00AA76C9">
        <w:rPr>
          <w:color w:val="000000"/>
          <w:sz w:val="22"/>
          <w:szCs w:val="22"/>
        </w:rPr>
        <w:t xml:space="preserve"> </w:t>
      </w:r>
    </w:p>
    <w:p w:rsidR="00D56989" w:rsidRDefault="00D56989" w:rsidP="004979D7">
      <w:pPr>
        <w:jc w:val="both"/>
        <w:rPr>
          <w:i/>
          <w:sz w:val="22"/>
          <w:szCs w:val="22"/>
        </w:rPr>
      </w:pPr>
    </w:p>
    <w:p w:rsidR="004979D7" w:rsidRPr="00FB0DCE" w:rsidRDefault="004979D7" w:rsidP="004979D7">
      <w:pPr>
        <w:jc w:val="both"/>
        <w:rPr>
          <w:sz w:val="22"/>
          <w:szCs w:val="22"/>
        </w:rPr>
      </w:pPr>
      <w:r w:rsidRPr="006121FF">
        <w:rPr>
          <w:i/>
          <w:sz w:val="22"/>
          <w:szCs w:val="22"/>
        </w:rPr>
        <w:t>Investiční výdaje</w:t>
      </w:r>
      <w:r w:rsidRPr="00FB0DCE">
        <w:rPr>
          <w:sz w:val="22"/>
          <w:szCs w:val="22"/>
        </w:rPr>
        <w:t xml:space="preserve"> </w:t>
      </w:r>
      <w:r w:rsidRPr="00061076">
        <w:rPr>
          <w:i/>
          <w:sz w:val="22"/>
          <w:szCs w:val="22"/>
        </w:rPr>
        <w:t>podkapitoly 0241</w:t>
      </w:r>
      <w:r>
        <w:rPr>
          <w:sz w:val="22"/>
          <w:szCs w:val="22"/>
        </w:rPr>
        <w:t xml:space="preserve"> </w:t>
      </w:r>
      <w:r w:rsidRPr="00FB0DCE">
        <w:rPr>
          <w:sz w:val="22"/>
          <w:szCs w:val="22"/>
        </w:rPr>
        <w:t xml:space="preserve">byly čerpány </w:t>
      </w:r>
      <w:r w:rsidR="00DA12C8">
        <w:rPr>
          <w:sz w:val="22"/>
          <w:szCs w:val="22"/>
        </w:rPr>
        <w:t xml:space="preserve">v celkové výši 15.985,5 </w:t>
      </w:r>
      <w:r w:rsidR="005E1108">
        <w:rPr>
          <w:sz w:val="22"/>
          <w:szCs w:val="22"/>
        </w:rPr>
        <w:t>tis. Kč</w:t>
      </w:r>
      <w:r w:rsidR="00DA12C8">
        <w:rPr>
          <w:sz w:val="22"/>
          <w:szCs w:val="22"/>
        </w:rPr>
        <w:t>. N</w:t>
      </w:r>
      <w:r w:rsidRPr="00FB0DCE">
        <w:rPr>
          <w:sz w:val="22"/>
          <w:szCs w:val="22"/>
        </w:rPr>
        <w:t>a akci „Revitaliz</w:t>
      </w:r>
      <w:r w:rsidRPr="00FB0DCE">
        <w:rPr>
          <w:sz w:val="22"/>
          <w:szCs w:val="22"/>
        </w:rPr>
        <w:t>a</w:t>
      </w:r>
      <w:r w:rsidRPr="00FB0DCE">
        <w:rPr>
          <w:sz w:val="22"/>
          <w:szCs w:val="22"/>
        </w:rPr>
        <w:t>ce sportovních ploch na Barrandově</w:t>
      </w:r>
      <w:r w:rsidR="00DA12C8">
        <w:rPr>
          <w:sz w:val="22"/>
          <w:szCs w:val="22"/>
        </w:rPr>
        <w:t xml:space="preserve"> čerpáno</w:t>
      </w:r>
      <w:r w:rsidRPr="00FB0DCE">
        <w:rPr>
          <w:sz w:val="22"/>
          <w:szCs w:val="22"/>
        </w:rPr>
        <w:t xml:space="preserve"> (5</w:t>
      </w:r>
      <w:r>
        <w:rPr>
          <w:sz w:val="22"/>
          <w:szCs w:val="22"/>
        </w:rPr>
        <w:t>.</w:t>
      </w:r>
      <w:r w:rsidRPr="00FB0DCE">
        <w:rPr>
          <w:sz w:val="22"/>
          <w:szCs w:val="22"/>
        </w:rPr>
        <w:t>956,8</w:t>
      </w:r>
      <w:r w:rsidR="00AA76C9">
        <w:rPr>
          <w:sz w:val="22"/>
          <w:szCs w:val="22"/>
        </w:rPr>
        <w:t xml:space="preserve"> </w:t>
      </w:r>
      <w:r w:rsidR="005E1108">
        <w:rPr>
          <w:sz w:val="22"/>
          <w:szCs w:val="22"/>
        </w:rPr>
        <w:t>tis. Kč</w:t>
      </w:r>
      <w:r w:rsidRPr="00FB0DCE">
        <w:rPr>
          <w:sz w:val="22"/>
          <w:szCs w:val="22"/>
        </w:rPr>
        <w:t>),</w:t>
      </w:r>
      <w:r w:rsidR="00AA76C9">
        <w:rPr>
          <w:sz w:val="22"/>
          <w:szCs w:val="22"/>
        </w:rPr>
        <w:t xml:space="preserve"> </w:t>
      </w:r>
      <w:r w:rsidR="00DA12C8">
        <w:rPr>
          <w:sz w:val="22"/>
          <w:szCs w:val="22"/>
        </w:rPr>
        <w:t>na r</w:t>
      </w:r>
      <w:r w:rsidRPr="00FB0DCE">
        <w:rPr>
          <w:sz w:val="22"/>
          <w:szCs w:val="22"/>
        </w:rPr>
        <w:t>ekonstrukc</w:t>
      </w:r>
      <w:r w:rsidR="00DA12C8">
        <w:rPr>
          <w:sz w:val="22"/>
          <w:szCs w:val="22"/>
        </w:rPr>
        <w:t xml:space="preserve">i </w:t>
      </w:r>
      <w:r w:rsidRPr="00FB0DCE">
        <w:rPr>
          <w:sz w:val="22"/>
          <w:szCs w:val="22"/>
        </w:rPr>
        <w:t>sportoviště ul.</w:t>
      </w:r>
      <w:r>
        <w:rPr>
          <w:sz w:val="22"/>
          <w:szCs w:val="22"/>
        </w:rPr>
        <w:t xml:space="preserve"> </w:t>
      </w:r>
      <w:r w:rsidRPr="00FB0DCE">
        <w:rPr>
          <w:sz w:val="22"/>
          <w:szCs w:val="22"/>
        </w:rPr>
        <w:t>Bocho</w:t>
      </w:r>
      <w:r w:rsidRPr="00FB0DCE">
        <w:rPr>
          <w:sz w:val="22"/>
          <w:szCs w:val="22"/>
        </w:rPr>
        <w:t>v</w:t>
      </w:r>
      <w:r w:rsidRPr="00FB0DCE">
        <w:rPr>
          <w:sz w:val="22"/>
          <w:szCs w:val="22"/>
        </w:rPr>
        <w:t xml:space="preserve">ská (157,8 </w:t>
      </w:r>
      <w:r w:rsidR="005E1108">
        <w:rPr>
          <w:sz w:val="22"/>
          <w:szCs w:val="22"/>
        </w:rPr>
        <w:t>tis. Kč</w:t>
      </w:r>
      <w:r w:rsidRPr="00FB0DCE">
        <w:rPr>
          <w:sz w:val="22"/>
          <w:szCs w:val="22"/>
        </w:rPr>
        <w:t>), na uvolnění pozastávky po odstranění vad a nedodělků z přejímacího řízení – po</w:t>
      </w:r>
      <w:r w:rsidRPr="00FB0DCE">
        <w:rPr>
          <w:sz w:val="22"/>
          <w:szCs w:val="22"/>
        </w:rPr>
        <w:t>d</w:t>
      </w:r>
      <w:r w:rsidRPr="00FB0DCE">
        <w:rPr>
          <w:sz w:val="22"/>
          <w:szCs w:val="22"/>
        </w:rPr>
        <w:t>zemní kontejnery</w:t>
      </w:r>
      <w:r w:rsidR="00AA76C9">
        <w:rPr>
          <w:sz w:val="22"/>
          <w:szCs w:val="22"/>
        </w:rPr>
        <w:t xml:space="preserve"> </w:t>
      </w:r>
      <w:r w:rsidRPr="00FB0DCE">
        <w:rPr>
          <w:sz w:val="22"/>
          <w:szCs w:val="22"/>
        </w:rPr>
        <w:t xml:space="preserve">Újezd (219,4 </w:t>
      </w:r>
      <w:r w:rsidR="005E1108">
        <w:rPr>
          <w:sz w:val="22"/>
          <w:szCs w:val="22"/>
        </w:rPr>
        <w:t>tis. Kč</w:t>
      </w:r>
      <w:r w:rsidRPr="00FB0DCE">
        <w:rPr>
          <w:sz w:val="22"/>
          <w:szCs w:val="22"/>
        </w:rPr>
        <w:t>) a na zaměření areálu sportoviště U Hruš</w:t>
      </w:r>
      <w:r w:rsidR="006D0D1B">
        <w:rPr>
          <w:sz w:val="22"/>
          <w:szCs w:val="22"/>
        </w:rPr>
        <w:t xml:space="preserve">ky </w:t>
      </w:r>
      <w:r w:rsidRPr="00FB0DCE">
        <w:rPr>
          <w:sz w:val="22"/>
          <w:szCs w:val="22"/>
        </w:rPr>
        <w:t xml:space="preserve">(27,8 </w:t>
      </w:r>
      <w:r w:rsidR="005E1108">
        <w:rPr>
          <w:sz w:val="22"/>
          <w:szCs w:val="22"/>
        </w:rPr>
        <w:t>tis. Kč</w:t>
      </w:r>
      <w:r w:rsidRPr="00FB0DCE">
        <w:rPr>
          <w:sz w:val="22"/>
          <w:szCs w:val="22"/>
        </w:rPr>
        <w:t xml:space="preserve">). </w:t>
      </w:r>
      <w:r w:rsidR="00DA12C8">
        <w:rPr>
          <w:sz w:val="22"/>
          <w:szCs w:val="22"/>
        </w:rPr>
        <w:t xml:space="preserve">Na zajištění nestabilních svahů vlivem nadměrných srážek v parcích Santoška a Mrázovka bylo čerpáno 5.040,9 </w:t>
      </w:r>
      <w:r w:rsidR="005E1108">
        <w:rPr>
          <w:sz w:val="22"/>
          <w:szCs w:val="22"/>
        </w:rPr>
        <w:t>tis. Kč</w:t>
      </w:r>
      <w:r w:rsidR="00DA12C8">
        <w:rPr>
          <w:sz w:val="22"/>
          <w:szCs w:val="22"/>
        </w:rPr>
        <w:t>, na rekonstrukci zábradlí a zábran v parku Mrázovka</w:t>
      </w:r>
      <w:r w:rsidR="006D0D1B">
        <w:rPr>
          <w:sz w:val="22"/>
          <w:szCs w:val="22"/>
        </w:rPr>
        <w:t xml:space="preserve"> bylo</w:t>
      </w:r>
      <w:r w:rsidR="00DA12C8">
        <w:rPr>
          <w:sz w:val="22"/>
          <w:szCs w:val="22"/>
        </w:rPr>
        <w:t xml:space="preserve"> </w:t>
      </w:r>
      <w:r w:rsidR="001C1568">
        <w:rPr>
          <w:sz w:val="22"/>
          <w:szCs w:val="22"/>
        </w:rPr>
        <w:t>vydáno</w:t>
      </w:r>
      <w:r w:rsidR="00DA12C8">
        <w:rPr>
          <w:sz w:val="22"/>
          <w:szCs w:val="22"/>
        </w:rPr>
        <w:t xml:space="preserve"> celkem 3.552 </w:t>
      </w:r>
      <w:r w:rsidR="005E1108">
        <w:rPr>
          <w:sz w:val="22"/>
          <w:szCs w:val="22"/>
        </w:rPr>
        <w:t>tis. Kč</w:t>
      </w:r>
      <w:r w:rsidR="00DA12C8">
        <w:rPr>
          <w:sz w:val="22"/>
          <w:szCs w:val="22"/>
        </w:rPr>
        <w:t xml:space="preserve">, na snížení emisní zátěže z dopravy ozeleněním ulice pomoci izolační zeleně 5.978,5 </w:t>
      </w:r>
      <w:r w:rsidR="005E1108">
        <w:rPr>
          <w:sz w:val="22"/>
          <w:szCs w:val="22"/>
        </w:rPr>
        <w:t>tis. Kč</w:t>
      </w:r>
      <w:r w:rsidR="00DA12C8">
        <w:rPr>
          <w:sz w:val="22"/>
          <w:szCs w:val="22"/>
        </w:rPr>
        <w:t>.</w:t>
      </w:r>
    </w:p>
    <w:p w:rsidR="00AC546B" w:rsidRDefault="00AC546B" w:rsidP="00AC546B">
      <w:pPr>
        <w:jc w:val="both"/>
        <w:rPr>
          <w:color w:val="000000"/>
          <w:sz w:val="22"/>
          <w:szCs w:val="22"/>
        </w:rPr>
      </w:pPr>
    </w:p>
    <w:p w:rsidR="00AC546B" w:rsidRDefault="00061076" w:rsidP="00AC546B">
      <w:pPr>
        <w:jc w:val="both"/>
        <w:rPr>
          <w:color w:val="000000"/>
          <w:sz w:val="22"/>
          <w:szCs w:val="22"/>
        </w:rPr>
      </w:pPr>
      <w:r w:rsidRPr="00061076">
        <w:rPr>
          <w:i/>
          <w:color w:val="000000"/>
          <w:sz w:val="22"/>
          <w:szCs w:val="22"/>
        </w:rPr>
        <w:t>Investiční výdaje podkapitoly 0251</w:t>
      </w:r>
      <w:r>
        <w:rPr>
          <w:color w:val="000000"/>
          <w:sz w:val="22"/>
          <w:szCs w:val="22"/>
        </w:rPr>
        <w:t xml:space="preserve"> - s</w:t>
      </w:r>
      <w:r w:rsidR="00AC546B">
        <w:rPr>
          <w:color w:val="000000"/>
          <w:sz w:val="22"/>
          <w:szCs w:val="22"/>
        </w:rPr>
        <w:t xml:space="preserve">chválený rozpočet investičních výdajů </w:t>
      </w:r>
      <w:r w:rsidR="00FB0DCE">
        <w:rPr>
          <w:color w:val="000000"/>
          <w:sz w:val="22"/>
          <w:szCs w:val="22"/>
        </w:rPr>
        <w:t xml:space="preserve">podkapitoly </w:t>
      </w:r>
      <w:r w:rsidR="00AC546B">
        <w:rPr>
          <w:color w:val="000000"/>
          <w:sz w:val="22"/>
          <w:szCs w:val="22"/>
        </w:rPr>
        <w:t xml:space="preserve">činil 54.900 </w:t>
      </w:r>
      <w:r w:rsidR="005E1108">
        <w:rPr>
          <w:color w:val="000000"/>
          <w:sz w:val="22"/>
          <w:szCs w:val="22"/>
        </w:rPr>
        <w:t>tis. Kč</w:t>
      </w:r>
      <w:r w:rsidR="00AC546B">
        <w:rPr>
          <w:color w:val="000000"/>
          <w:sz w:val="22"/>
          <w:szCs w:val="22"/>
        </w:rPr>
        <w:t xml:space="preserve">, </w:t>
      </w:r>
      <w:r w:rsidR="00FB0DCE">
        <w:rPr>
          <w:color w:val="000000"/>
          <w:sz w:val="22"/>
          <w:szCs w:val="22"/>
        </w:rPr>
        <w:t>úpravou rozpočtu byl snížen na</w:t>
      </w:r>
      <w:r w:rsidR="00AA76C9">
        <w:rPr>
          <w:color w:val="000000"/>
          <w:sz w:val="22"/>
          <w:szCs w:val="22"/>
        </w:rPr>
        <w:t xml:space="preserve"> </w:t>
      </w:r>
      <w:r w:rsidR="00AC546B">
        <w:rPr>
          <w:color w:val="000000"/>
          <w:sz w:val="22"/>
          <w:szCs w:val="22"/>
        </w:rPr>
        <w:t xml:space="preserve">7.247,4 </w:t>
      </w:r>
      <w:r w:rsidR="005E1108">
        <w:rPr>
          <w:color w:val="000000"/>
          <w:sz w:val="22"/>
          <w:szCs w:val="22"/>
        </w:rPr>
        <w:t>tis. Kč</w:t>
      </w:r>
      <w:r w:rsidR="00AC546B">
        <w:rPr>
          <w:color w:val="000000"/>
          <w:sz w:val="22"/>
          <w:szCs w:val="22"/>
        </w:rPr>
        <w:t xml:space="preserve"> </w:t>
      </w:r>
      <w:r w:rsidR="00FB0DCE">
        <w:rPr>
          <w:color w:val="000000"/>
          <w:sz w:val="22"/>
          <w:szCs w:val="22"/>
        </w:rPr>
        <w:t>a čerpán částkou</w:t>
      </w:r>
      <w:r w:rsidR="00AC546B">
        <w:rPr>
          <w:color w:val="000000"/>
          <w:sz w:val="22"/>
          <w:szCs w:val="22"/>
        </w:rPr>
        <w:t xml:space="preserve"> 6.3</w:t>
      </w:r>
      <w:r w:rsidR="00964A8C">
        <w:rPr>
          <w:color w:val="000000"/>
          <w:sz w:val="22"/>
          <w:szCs w:val="22"/>
        </w:rPr>
        <w:t>6</w:t>
      </w:r>
      <w:r w:rsidR="00AC546B">
        <w:rPr>
          <w:color w:val="000000"/>
          <w:sz w:val="22"/>
          <w:szCs w:val="22"/>
        </w:rPr>
        <w:t xml:space="preserve">1,9 </w:t>
      </w:r>
      <w:r w:rsidR="005E1108">
        <w:rPr>
          <w:color w:val="000000"/>
          <w:sz w:val="22"/>
          <w:szCs w:val="22"/>
        </w:rPr>
        <w:t>tis. Kč</w:t>
      </w:r>
      <w:r w:rsidR="00AC546B">
        <w:rPr>
          <w:color w:val="000000"/>
          <w:sz w:val="22"/>
          <w:szCs w:val="22"/>
        </w:rPr>
        <w:t>.</w:t>
      </w:r>
      <w:r w:rsidR="00FB0DCE">
        <w:rPr>
          <w:color w:val="000000"/>
          <w:sz w:val="22"/>
          <w:szCs w:val="22"/>
        </w:rPr>
        <w:t xml:space="preserve"> </w:t>
      </w:r>
      <w:r w:rsidR="004979D7">
        <w:rPr>
          <w:color w:val="000000"/>
          <w:sz w:val="22"/>
          <w:szCs w:val="22"/>
        </w:rPr>
        <w:t xml:space="preserve">Ke snížení rozpočtu došlo v důsledku </w:t>
      </w:r>
      <w:r w:rsidR="00F14EBB">
        <w:rPr>
          <w:color w:val="000000"/>
          <w:sz w:val="22"/>
          <w:szCs w:val="22"/>
        </w:rPr>
        <w:t>odložení</w:t>
      </w:r>
      <w:r w:rsidR="004979D7">
        <w:rPr>
          <w:color w:val="000000"/>
          <w:sz w:val="22"/>
          <w:szCs w:val="22"/>
        </w:rPr>
        <w:t xml:space="preserve"> akce</w:t>
      </w:r>
      <w:r w:rsidR="00AC546B">
        <w:rPr>
          <w:color w:val="000000"/>
          <w:sz w:val="22"/>
          <w:szCs w:val="22"/>
        </w:rPr>
        <w:t xml:space="preserve"> „Revitalizace pěších zón a parků na Barrandově“ (40.000</w:t>
      </w:r>
      <w:r w:rsidR="00FB0DCE">
        <w:rPr>
          <w:color w:val="000000"/>
          <w:sz w:val="22"/>
          <w:szCs w:val="22"/>
        </w:rPr>
        <w:t> </w:t>
      </w:r>
      <w:r w:rsidR="005E1108">
        <w:rPr>
          <w:color w:val="000000"/>
          <w:sz w:val="22"/>
          <w:szCs w:val="22"/>
        </w:rPr>
        <w:t>tis. Kč</w:t>
      </w:r>
      <w:r w:rsidR="00AC546B">
        <w:rPr>
          <w:color w:val="000000"/>
          <w:sz w:val="22"/>
          <w:szCs w:val="22"/>
        </w:rPr>
        <w:t>)</w:t>
      </w:r>
      <w:r w:rsidR="00F14EBB">
        <w:rPr>
          <w:color w:val="000000"/>
          <w:sz w:val="22"/>
          <w:szCs w:val="22"/>
        </w:rPr>
        <w:t xml:space="preserve"> do roku 2014</w:t>
      </w:r>
      <w:r w:rsidR="00AC546B">
        <w:rPr>
          <w:color w:val="000000"/>
          <w:sz w:val="22"/>
          <w:szCs w:val="22"/>
        </w:rPr>
        <w:t>. Na tuto akci byla v roce 2012 zpracována kompletní zadávací dok</w:t>
      </w:r>
      <w:r w:rsidR="00AC546B">
        <w:rPr>
          <w:color w:val="000000"/>
          <w:sz w:val="22"/>
          <w:szCs w:val="22"/>
        </w:rPr>
        <w:t>u</w:t>
      </w:r>
      <w:r w:rsidR="00AC546B">
        <w:rPr>
          <w:color w:val="000000"/>
          <w:sz w:val="22"/>
          <w:szCs w:val="22"/>
        </w:rPr>
        <w:t xml:space="preserve">mentace a bylo požádáno o dotaci z Evropských fondů. Dotace byla přidělena až na konci roku </w:t>
      </w:r>
      <w:smartTag w:uri="urn:schemas-microsoft-com:office:smarttags" w:element="metricconverter">
        <w:smartTagPr>
          <w:attr w:name="ProductID" w:val="2013 a"/>
        </w:smartTagPr>
        <w:r w:rsidR="00AC546B">
          <w:rPr>
            <w:color w:val="000000"/>
            <w:sz w:val="22"/>
            <w:szCs w:val="22"/>
          </w:rPr>
          <w:t>2013 a</w:t>
        </w:r>
      </w:smartTag>
      <w:r w:rsidR="00AC546B">
        <w:rPr>
          <w:color w:val="000000"/>
          <w:sz w:val="22"/>
          <w:szCs w:val="22"/>
        </w:rPr>
        <w:t xml:space="preserve"> bylo zahájeno zadávací řízení na zhotovitele stavby. Akce je posunuta do roku </w:t>
      </w:r>
      <w:smartTag w:uri="urn:schemas-microsoft-com:office:smarttags" w:element="metricconverter">
        <w:smartTagPr>
          <w:attr w:name="ProductID" w:val="2014 a"/>
        </w:smartTagPr>
        <w:r w:rsidR="00AC546B">
          <w:rPr>
            <w:color w:val="000000"/>
            <w:sz w:val="22"/>
            <w:szCs w:val="22"/>
          </w:rPr>
          <w:t>2014 a</w:t>
        </w:r>
      </w:smartTag>
      <w:r w:rsidR="00AC546B">
        <w:rPr>
          <w:color w:val="000000"/>
          <w:sz w:val="22"/>
          <w:szCs w:val="22"/>
        </w:rPr>
        <w:t xml:space="preserve"> </w:t>
      </w:r>
      <w:r w:rsidR="00FB0DCE">
        <w:rPr>
          <w:color w:val="000000"/>
          <w:sz w:val="22"/>
          <w:szCs w:val="22"/>
        </w:rPr>
        <w:t>původně plán</w:t>
      </w:r>
      <w:r w:rsidR="00FB0DCE">
        <w:rPr>
          <w:color w:val="000000"/>
          <w:sz w:val="22"/>
          <w:szCs w:val="22"/>
        </w:rPr>
        <w:t>o</w:t>
      </w:r>
      <w:r w:rsidR="00FB0DCE">
        <w:rPr>
          <w:color w:val="000000"/>
          <w:sz w:val="22"/>
          <w:szCs w:val="22"/>
        </w:rPr>
        <w:t xml:space="preserve">vané </w:t>
      </w:r>
      <w:r w:rsidR="00AC546B">
        <w:rPr>
          <w:color w:val="000000"/>
          <w:sz w:val="22"/>
          <w:szCs w:val="22"/>
        </w:rPr>
        <w:t xml:space="preserve">finanční prostředky </w:t>
      </w:r>
      <w:r w:rsidR="00FB0DCE">
        <w:rPr>
          <w:color w:val="000000"/>
          <w:sz w:val="22"/>
          <w:szCs w:val="22"/>
        </w:rPr>
        <w:t xml:space="preserve">na financování akce </w:t>
      </w:r>
      <w:r w:rsidR="00AC546B">
        <w:rPr>
          <w:color w:val="000000"/>
          <w:sz w:val="22"/>
          <w:szCs w:val="22"/>
        </w:rPr>
        <w:t xml:space="preserve">byly vráceny do rezervy MČ. </w:t>
      </w:r>
    </w:p>
    <w:p w:rsidR="00FB0DCE" w:rsidRDefault="00FB0DCE" w:rsidP="00AC546B">
      <w:pPr>
        <w:jc w:val="both"/>
        <w:rPr>
          <w:color w:val="000000"/>
          <w:sz w:val="22"/>
          <w:szCs w:val="22"/>
        </w:rPr>
      </w:pPr>
    </w:p>
    <w:p w:rsidR="00AC546B" w:rsidRPr="00FB0DCE" w:rsidRDefault="00AC546B" w:rsidP="00FB0DCE">
      <w:pPr>
        <w:jc w:val="both"/>
        <w:rPr>
          <w:color w:val="000000"/>
          <w:sz w:val="22"/>
          <w:szCs w:val="22"/>
        </w:rPr>
      </w:pPr>
      <w:r w:rsidRPr="00D21811">
        <w:rPr>
          <w:i/>
          <w:color w:val="000000"/>
          <w:sz w:val="22"/>
          <w:szCs w:val="22"/>
        </w:rPr>
        <w:t>Granty</w:t>
      </w:r>
      <w:r w:rsidRPr="00FB0DCE">
        <w:rPr>
          <w:color w:val="000000"/>
          <w:sz w:val="22"/>
          <w:szCs w:val="22"/>
        </w:rPr>
        <w:t xml:space="preserve"> byly vyčerpány v plné výši (275 </w:t>
      </w:r>
      <w:r w:rsidR="005E1108">
        <w:rPr>
          <w:color w:val="000000"/>
          <w:sz w:val="22"/>
          <w:szCs w:val="22"/>
        </w:rPr>
        <w:t>tis. Kč</w:t>
      </w:r>
      <w:r w:rsidRPr="00FB0DCE">
        <w:rPr>
          <w:color w:val="000000"/>
          <w:sz w:val="22"/>
          <w:szCs w:val="22"/>
        </w:rPr>
        <w:t>)</w:t>
      </w:r>
      <w:r w:rsidR="00D21811">
        <w:rPr>
          <w:color w:val="000000"/>
          <w:sz w:val="22"/>
          <w:szCs w:val="22"/>
        </w:rPr>
        <w:t xml:space="preserve"> </w:t>
      </w:r>
      <w:r w:rsidR="00E26F82">
        <w:rPr>
          <w:color w:val="000000"/>
          <w:sz w:val="22"/>
          <w:szCs w:val="22"/>
        </w:rPr>
        <w:t>na program</w:t>
      </w:r>
      <w:r w:rsidR="00D21811">
        <w:rPr>
          <w:color w:val="000000"/>
          <w:sz w:val="22"/>
          <w:szCs w:val="22"/>
        </w:rPr>
        <w:t xml:space="preserve"> „Místo pro život a ekologické programy</w:t>
      </w:r>
      <w:r w:rsidR="00E26F82">
        <w:rPr>
          <w:color w:val="000000"/>
          <w:sz w:val="22"/>
          <w:szCs w:val="22"/>
        </w:rPr>
        <w:t>“</w:t>
      </w:r>
      <w:r w:rsidRPr="00FB0DCE">
        <w:rPr>
          <w:color w:val="000000"/>
          <w:sz w:val="22"/>
          <w:szCs w:val="22"/>
        </w:rPr>
        <w:t>.</w:t>
      </w:r>
    </w:p>
    <w:p w:rsidR="00460834" w:rsidRDefault="00460834" w:rsidP="00AC546B">
      <w:pPr>
        <w:jc w:val="both"/>
        <w:rPr>
          <w:color w:val="000000"/>
          <w:sz w:val="22"/>
          <w:szCs w:val="22"/>
          <w:u w:val="single"/>
        </w:rPr>
      </w:pPr>
    </w:p>
    <w:p w:rsidR="00AC546B" w:rsidRPr="003A6D73" w:rsidRDefault="004A0F1C" w:rsidP="003E450D">
      <w:pPr>
        <w:pStyle w:val="Nadpis5"/>
      </w:pPr>
      <w:bookmarkStart w:id="21" w:name="_Toc385875206"/>
      <w:r w:rsidRPr="003A6D73">
        <w:t>Kapitola</w:t>
      </w:r>
      <w:r w:rsidR="00F07880" w:rsidRPr="003A6D73">
        <w:t xml:space="preserve"> 03</w:t>
      </w:r>
      <w:r w:rsidR="00F07880">
        <w:tab/>
      </w:r>
      <w:r w:rsidR="00AC546B" w:rsidRPr="003A6D73">
        <w:t>D</w:t>
      </w:r>
      <w:r w:rsidR="00F07880">
        <w:t>oprava</w:t>
      </w:r>
      <w:bookmarkEnd w:id="21"/>
    </w:p>
    <w:p w:rsidR="003A6D73" w:rsidRDefault="003A6D73" w:rsidP="00AC546B">
      <w:pPr>
        <w:jc w:val="both"/>
        <w:rPr>
          <w:color w:val="000000"/>
          <w:sz w:val="22"/>
          <w:szCs w:val="22"/>
        </w:rPr>
      </w:pPr>
    </w:p>
    <w:p w:rsidR="003E4423" w:rsidRDefault="00CC0A27" w:rsidP="00AC546B">
      <w:pPr>
        <w:jc w:val="both"/>
        <w:rPr>
          <w:i/>
          <w:color w:val="000000"/>
          <w:sz w:val="22"/>
          <w:szCs w:val="22"/>
        </w:rPr>
      </w:pPr>
      <w:r w:rsidRPr="006121FF">
        <w:rPr>
          <w:i/>
          <w:color w:val="000000"/>
          <w:sz w:val="22"/>
          <w:szCs w:val="22"/>
        </w:rPr>
        <w:t>Podkapitola 0341 Odbor správy veřejného prostranství</w:t>
      </w:r>
    </w:p>
    <w:p w:rsidR="006F13DB" w:rsidRDefault="006F13DB" w:rsidP="00AC546B">
      <w:pPr>
        <w:jc w:val="both"/>
        <w:rPr>
          <w:color w:val="000000"/>
          <w:sz w:val="22"/>
          <w:szCs w:val="22"/>
        </w:rPr>
      </w:pPr>
      <w:r>
        <w:rPr>
          <w:color w:val="000000"/>
          <w:sz w:val="22"/>
          <w:szCs w:val="22"/>
        </w:rPr>
        <w:t xml:space="preserve">Do rozpočtu hlavního města Prahy bylo poskytnuto celkem 5.593 </w:t>
      </w:r>
      <w:proofErr w:type="gramStart"/>
      <w:r>
        <w:rPr>
          <w:color w:val="000000"/>
          <w:sz w:val="22"/>
          <w:szCs w:val="22"/>
        </w:rPr>
        <w:t>tis.Kč</w:t>
      </w:r>
      <w:proofErr w:type="gramEnd"/>
      <w:r>
        <w:rPr>
          <w:color w:val="000000"/>
          <w:sz w:val="22"/>
          <w:szCs w:val="22"/>
        </w:rPr>
        <w:t xml:space="preserve">, z toho 5 mil. na opravy chodníků a 593 tis.Kč na zajištění provozu autobusové linky č. 128 – dopravní obsluha </w:t>
      </w:r>
      <w:proofErr w:type="spellStart"/>
      <w:r>
        <w:rPr>
          <w:color w:val="000000"/>
          <w:sz w:val="22"/>
          <w:szCs w:val="22"/>
        </w:rPr>
        <w:t>Žvahova</w:t>
      </w:r>
      <w:proofErr w:type="spellEnd"/>
      <w:r>
        <w:rPr>
          <w:color w:val="000000"/>
          <w:sz w:val="22"/>
          <w:szCs w:val="22"/>
        </w:rPr>
        <w:t xml:space="preserve">. Na opravy a udržování chodníků MČ Praha 5 bylo dále vyčerpáno 3.936,6 </w:t>
      </w:r>
      <w:proofErr w:type="gramStart"/>
      <w:r>
        <w:rPr>
          <w:color w:val="000000"/>
          <w:sz w:val="22"/>
          <w:szCs w:val="22"/>
        </w:rPr>
        <w:t>tis.Kč</w:t>
      </w:r>
      <w:proofErr w:type="gramEnd"/>
      <w:r>
        <w:rPr>
          <w:color w:val="000000"/>
          <w:sz w:val="22"/>
          <w:szCs w:val="22"/>
        </w:rPr>
        <w:t xml:space="preserve">, opraveny byly např. chodníky ul. Kováků 3, Lidická 23 a 25, </w:t>
      </w:r>
      <w:proofErr w:type="spellStart"/>
      <w:r>
        <w:rPr>
          <w:color w:val="000000"/>
          <w:sz w:val="22"/>
          <w:szCs w:val="22"/>
        </w:rPr>
        <w:t>Zborovská</w:t>
      </w:r>
      <w:proofErr w:type="spellEnd"/>
      <w:r>
        <w:rPr>
          <w:color w:val="000000"/>
          <w:sz w:val="22"/>
          <w:szCs w:val="22"/>
        </w:rPr>
        <w:t xml:space="preserve"> 2, Arbesovo nám. 13, byly opraveny chodníky a parkovací stání v ul. Holečkova/</w:t>
      </w:r>
      <w:proofErr w:type="spellStart"/>
      <w:r>
        <w:rPr>
          <w:color w:val="000000"/>
          <w:sz w:val="22"/>
          <w:szCs w:val="22"/>
        </w:rPr>
        <w:t>Kobrova</w:t>
      </w:r>
      <w:proofErr w:type="spellEnd"/>
      <w:r>
        <w:rPr>
          <w:color w:val="000000"/>
          <w:sz w:val="22"/>
          <w:szCs w:val="22"/>
        </w:rPr>
        <w:t xml:space="preserve"> atd.</w:t>
      </w:r>
    </w:p>
    <w:p w:rsidR="006F13DB" w:rsidRPr="006F13DB" w:rsidRDefault="006F13DB" w:rsidP="00AC546B">
      <w:pPr>
        <w:jc w:val="both"/>
        <w:rPr>
          <w:color w:val="000000"/>
          <w:sz w:val="22"/>
          <w:szCs w:val="22"/>
        </w:rPr>
      </w:pPr>
    </w:p>
    <w:p w:rsidR="00CC0A27" w:rsidRPr="006121FF" w:rsidRDefault="00CC0A27" w:rsidP="00AC546B">
      <w:pPr>
        <w:jc w:val="both"/>
        <w:rPr>
          <w:i/>
          <w:color w:val="000000"/>
          <w:sz w:val="22"/>
          <w:szCs w:val="22"/>
        </w:rPr>
      </w:pPr>
      <w:r w:rsidRPr="006121FF">
        <w:rPr>
          <w:i/>
          <w:color w:val="000000"/>
          <w:sz w:val="22"/>
          <w:szCs w:val="22"/>
        </w:rPr>
        <w:t>Podkapitola 0351 Odbor investic</w:t>
      </w:r>
    </w:p>
    <w:p w:rsidR="00203098" w:rsidRPr="00203098" w:rsidRDefault="00203098" w:rsidP="00AC546B">
      <w:pPr>
        <w:jc w:val="both"/>
        <w:rPr>
          <w:color w:val="000000"/>
          <w:sz w:val="22"/>
          <w:szCs w:val="22"/>
        </w:rPr>
      </w:pPr>
      <w:r w:rsidRPr="00203098">
        <w:rPr>
          <w:color w:val="000000"/>
          <w:sz w:val="22"/>
          <w:szCs w:val="22"/>
        </w:rPr>
        <w:t xml:space="preserve">V závěru roku 2013 byl přijat dar od Nadace ČEZ, a.s. ve výši 156,1 </w:t>
      </w:r>
      <w:r w:rsidR="005E1108">
        <w:rPr>
          <w:color w:val="000000"/>
          <w:sz w:val="22"/>
          <w:szCs w:val="22"/>
        </w:rPr>
        <w:t>tis. Kč</w:t>
      </w:r>
      <w:r w:rsidRPr="00203098">
        <w:rPr>
          <w:color w:val="000000"/>
          <w:sz w:val="22"/>
          <w:szCs w:val="22"/>
        </w:rPr>
        <w:t xml:space="preserve"> na akci „Osvětlení př</w:t>
      </w:r>
      <w:r w:rsidRPr="00203098">
        <w:rPr>
          <w:color w:val="000000"/>
          <w:sz w:val="22"/>
          <w:szCs w:val="22"/>
        </w:rPr>
        <w:t>e</w:t>
      </w:r>
      <w:r w:rsidRPr="00203098">
        <w:rPr>
          <w:color w:val="000000"/>
          <w:sz w:val="22"/>
          <w:szCs w:val="22"/>
        </w:rPr>
        <w:t>chodu pro chodce v ulici Svornosti</w:t>
      </w:r>
      <w:r w:rsidR="00C942BA">
        <w:rPr>
          <w:color w:val="000000"/>
          <w:sz w:val="22"/>
          <w:szCs w:val="22"/>
        </w:rPr>
        <w:t>“</w:t>
      </w:r>
      <w:r w:rsidRPr="00203098">
        <w:rPr>
          <w:color w:val="000000"/>
          <w:sz w:val="22"/>
          <w:szCs w:val="22"/>
        </w:rPr>
        <w:t xml:space="preserve">, který nebyl v roce 2013 čerpán a </w:t>
      </w:r>
      <w:r w:rsidR="002272A1">
        <w:rPr>
          <w:color w:val="000000"/>
          <w:sz w:val="22"/>
          <w:szCs w:val="22"/>
        </w:rPr>
        <w:t xml:space="preserve">realizace </w:t>
      </w:r>
      <w:r w:rsidRPr="00203098">
        <w:rPr>
          <w:color w:val="000000"/>
          <w:sz w:val="22"/>
          <w:szCs w:val="22"/>
        </w:rPr>
        <w:t>akce se přesouvá do roku 2014.</w:t>
      </w:r>
    </w:p>
    <w:p w:rsidR="00203098" w:rsidRDefault="00203098" w:rsidP="00AC546B">
      <w:pPr>
        <w:jc w:val="both"/>
        <w:rPr>
          <w:color w:val="000000"/>
          <w:sz w:val="22"/>
          <w:szCs w:val="22"/>
          <w:u w:val="single"/>
        </w:rPr>
      </w:pPr>
    </w:p>
    <w:p w:rsidR="00AC546B" w:rsidRPr="003A6D73" w:rsidRDefault="004A0F1C" w:rsidP="003E450D">
      <w:pPr>
        <w:pStyle w:val="Nadpis5"/>
      </w:pPr>
      <w:bookmarkStart w:id="22" w:name="_Toc385875207"/>
      <w:r>
        <w:t>Kapitola</w:t>
      </w:r>
      <w:r w:rsidR="00F07880" w:rsidRPr="003A6D73">
        <w:t xml:space="preserve"> 04</w:t>
      </w:r>
      <w:r w:rsidR="00F07880">
        <w:tab/>
      </w:r>
      <w:r w:rsidR="00AC546B" w:rsidRPr="003A6D73">
        <w:t>Š</w:t>
      </w:r>
      <w:r w:rsidR="00F07880">
        <w:t>kolství</w:t>
      </w:r>
      <w:bookmarkEnd w:id="22"/>
    </w:p>
    <w:p w:rsidR="003A6D73" w:rsidRDefault="003A6D73" w:rsidP="005818F8">
      <w:pPr>
        <w:jc w:val="both"/>
        <w:rPr>
          <w:color w:val="000000"/>
          <w:sz w:val="22"/>
          <w:szCs w:val="22"/>
        </w:rPr>
      </w:pPr>
    </w:p>
    <w:p w:rsidR="005818F8" w:rsidRDefault="005818F8" w:rsidP="005818F8">
      <w:pPr>
        <w:jc w:val="both"/>
        <w:rPr>
          <w:color w:val="000000"/>
          <w:sz w:val="22"/>
          <w:szCs w:val="22"/>
        </w:rPr>
      </w:pPr>
      <w:r>
        <w:rPr>
          <w:color w:val="000000"/>
          <w:sz w:val="22"/>
          <w:szCs w:val="22"/>
        </w:rPr>
        <w:t>V oblasti školství bylo čerpáno celkem 219.956,</w:t>
      </w:r>
      <w:r w:rsidR="00F45FAA">
        <w:rPr>
          <w:color w:val="000000"/>
          <w:sz w:val="22"/>
          <w:szCs w:val="22"/>
        </w:rPr>
        <w:t>2</w:t>
      </w:r>
      <w:r>
        <w:rPr>
          <w:color w:val="000000"/>
          <w:sz w:val="22"/>
          <w:szCs w:val="22"/>
        </w:rPr>
        <w:t xml:space="preserve"> </w:t>
      </w:r>
      <w:r w:rsidR="005E1108">
        <w:rPr>
          <w:color w:val="000000"/>
          <w:sz w:val="22"/>
          <w:szCs w:val="22"/>
        </w:rPr>
        <w:t>tis. Kč</w:t>
      </w:r>
      <w:r>
        <w:rPr>
          <w:color w:val="000000"/>
          <w:sz w:val="22"/>
          <w:szCs w:val="22"/>
        </w:rPr>
        <w:t xml:space="preserve">. </w:t>
      </w:r>
      <w:r w:rsidR="00D87DCA">
        <w:rPr>
          <w:color w:val="000000"/>
          <w:sz w:val="22"/>
          <w:szCs w:val="22"/>
        </w:rPr>
        <w:t>Výdaje se podílí na celkovém objemu výd</w:t>
      </w:r>
      <w:r w:rsidR="00D87DCA">
        <w:rPr>
          <w:color w:val="000000"/>
          <w:sz w:val="22"/>
          <w:szCs w:val="22"/>
        </w:rPr>
        <w:t>a</w:t>
      </w:r>
      <w:r w:rsidR="00D87DCA">
        <w:rPr>
          <w:color w:val="000000"/>
          <w:sz w:val="22"/>
          <w:szCs w:val="22"/>
        </w:rPr>
        <w:t>jů roz</w:t>
      </w:r>
      <w:r w:rsidR="00C942BA">
        <w:rPr>
          <w:color w:val="000000"/>
          <w:sz w:val="22"/>
          <w:szCs w:val="22"/>
        </w:rPr>
        <w:t>počtu 32,3 %.</w:t>
      </w:r>
    </w:p>
    <w:p w:rsidR="005818F8" w:rsidRDefault="005818F8" w:rsidP="005818F8">
      <w:pPr>
        <w:jc w:val="both"/>
        <w:rPr>
          <w:color w:val="000000"/>
          <w:sz w:val="22"/>
          <w:szCs w:val="22"/>
        </w:rPr>
      </w:pPr>
    </w:p>
    <w:p w:rsidR="00460834" w:rsidRPr="006121FF" w:rsidRDefault="00CB208F" w:rsidP="00460834">
      <w:pPr>
        <w:jc w:val="both"/>
        <w:rPr>
          <w:i/>
          <w:color w:val="000000"/>
          <w:sz w:val="22"/>
          <w:szCs w:val="22"/>
        </w:rPr>
      </w:pPr>
      <w:r w:rsidRPr="006121FF">
        <w:rPr>
          <w:i/>
          <w:color w:val="000000"/>
          <w:sz w:val="22"/>
          <w:szCs w:val="22"/>
        </w:rPr>
        <w:t xml:space="preserve">Podkapitola </w:t>
      </w:r>
      <w:r w:rsidR="00460834" w:rsidRPr="006121FF">
        <w:rPr>
          <w:i/>
          <w:color w:val="000000"/>
          <w:sz w:val="22"/>
          <w:szCs w:val="22"/>
        </w:rPr>
        <w:t xml:space="preserve">0438 </w:t>
      </w:r>
      <w:r w:rsidRPr="006121FF">
        <w:rPr>
          <w:i/>
          <w:color w:val="000000"/>
          <w:sz w:val="22"/>
          <w:szCs w:val="22"/>
        </w:rPr>
        <w:t>Odbor servisních služeb</w:t>
      </w:r>
    </w:p>
    <w:p w:rsidR="00CF0B6A" w:rsidRDefault="00CF0B6A" w:rsidP="00460834">
      <w:pPr>
        <w:jc w:val="both"/>
        <w:rPr>
          <w:sz w:val="22"/>
          <w:szCs w:val="22"/>
        </w:rPr>
      </w:pPr>
      <w:r>
        <w:rPr>
          <w:sz w:val="22"/>
          <w:szCs w:val="22"/>
        </w:rPr>
        <w:t>V této podkapitole jsou soustředěny výdaje na snížení energetické náročnosti budov. Dokončeno bylo zateplení v ZŠ Barrandov, Chaplinovo nám. a FZŠ Barrandov II, objekt v Remízku v objemu</w:t>
      </w:r>
      <w:r w:rsidR="00AA76C9">
        <w:rPr>
          <w:sz w:val="22"/>
          <w:szCs w:val="22"/>
        </w:rPr>
        <w:t xml:space="preserve"> </w:t>
      </w:r>
      <w:r w:rsidR="00152BE8">
        <w:rPr>
          <w:sz w:val="22"/>
          <w:szCs w:val="22"/>
        </w:rPr>
        <w:t xml:space="preserve">20.825 </w:t>
      </w:r>
      <w:proofErr w:type="gramStart"/>
      <w:r w:rsidR="00152BE8">
        <w:rPr>
          <w:sz w:val="22"/>
          <w:szCs w:val="22"/>
        </w:rPr>
        <w:t>tis.Kč</w:t>
      </w:r>
      <w:proofErr w:type="gramEnd"/>
      <w:r>
        <w:rPr>
          <w:sz w:val="22"/>
          <w:szCs w:val="22"/>
        </w:rPr>
        <w:t>.</w:t>
      </w:r>
      <w:r w:rsidR="009F799A">
        <w:rPr>
          <w:sz w:val="22"/>
          <w:szCs w:val="22"/>
        </w:rPr>
        <w:t xml:space="preserve"> MŠ U Železničního mostu byla také dokončena, zde bylo vyčerpáno 4.563,3 </w:t>
      </w:r>
      <w:proofErr w:type="gramStart"/>
      <w:r w:rsidR="009F799A">
        <w:rPr>
          <w:sz w:val="22"/>
          <w:szCs w:val="22"/>
        </w:rPr>
        <w:t>tis.Kč</w:t>
      </w:r>
      <w:proofErr w:type="gramEnd"/>
      <w:r w:rsidR="009F799A">
        <w:rPr>
          <w:sz w:val="22"/>
          <w:szCs w:val="22"/>
        </w:rPr>
        <w:t>.</w:t>
      </w:r>
      <w:r>
        <w:rPr>
          <w:sz w:val="22"/>
          <w:szCs w:val="22"/>
        </w:rPr>
        <w:t xml:space="preserve"> Zahájeny byly práce na zateplení MŠ Peroutkova </w:t>
      </w:r>
      <w:r w:rsidR="009F799A">
        <w:rPr>
          <w:sz w:val="22"/>
          <w:szCs w:val="22"/>
        </w:rPr>
        <w:t xml:space="preserve">– </w:t>
      </w:r>
      <w:proofErr w:type="gramStart"/>
      <w:r w:rsidR="009F799A">
        <w:rPr>
          <w:sz w:val="22"/>
          <w:szCs w:val="22"/>
        </w:rPr>
        <w:t>byly</w:t>
      </w:r>
      <w:proofErr w:type="gramEnd"/>
      <w:r w:rsidR="009F799A">
        <w:rPr>
          <w:sz w:val="22"/>
          <w:szCs w:val="22"/>
        </w:rPr>
        <w:t xml:space="preserve"> </w:t>
      </w:r>
      <w:proofErr w:type="gramStart"/>
      <w:r w:rsidR="009F799A">
        <w:rPr>
          <w:sz w:val="22"/>
          <w:szCs w:val="22"/>
        </w:rPr>
        <w:t>zpracována</w:t>
      </w:r>
      <w:proofErr w:type="gramEnd"/>
      <w:r w:rsidR="009F799A">
        <w:rPr>
          <w:sz w:val="22"/>
          <w:szCs w:val="22"/>
        </w:rPr>
        <w:t xml:space="preserve"> projektová dokumentace a zahájeny stave</w:t>
      </w:r>
      <w:r w:rsidR="009F799A">
        <w:rPr>
          <w:sz w:val="22"/>
          <w:szCs w:val="22"/>
        </w:rPr>
        <w:t>b</w:t>
      </w:r>
      <w:r w:rsidR="009F799A">
        <w:rPr>
          <w:sz w:val="22"/>
          <w:szCs w:val="22"/>
        </w:rPr>
        <w:t xml:space="preserve">ní práce. Zde bylo čerpáno celkem 4.274 </w:t>
      </w:r>
      <w:proofErr w:type="gramStart"/>
      <w:r w:rsidR="009F799A">
        <w:rPr>
          <w:sz w:val="22"/>
          <w:szCs w:val="22"/>
        </w:rPr>
        <w:t>tis.Kč</w:t>
      </w:r>
      <w:proofErr w:type="gramEnd"/>
      <w:r w:rsidR="009F799A">
        <w:rPr>
          <w:sz w:val="22"/>
          <w:szCs w:val="22"/>
        </w:rPr>
        <w:t>.</w:t>
      </w:r>
    </w:p>
    <w:p w:rsidR="00CF0B6A" w:rsidRDefault="00CF0B6A" w:rsidP="00460834">
      <w:pPr>
        <w:jc w:val="both"/>
        <w:rPr>
          <w:sz w:val="22"/>
          <w:szCs w:val="22"/>
        </w:rPr>
      </w:pPr>
    </w:p>
    <w:p w:rsidR="00F5419E" w:rsidRDefault="00CB208F" w:rsidP="00F66305">
      <w:pPr>
        <w:rPr>
          <w:i/>
          <w:sz w:val="22"/>
          <w:szCs w:val="22"/>
        </w:rPr>
      </w:pPr>
      <w:r w:rsidRPr="006121FF">
        <w:rPr>
          <w:i/>
          <w:sz w:val="22"/>
          <w:szCs w:val="22"/>
        </w:rPr>
        <w:t>Podkapitola 0440 Odbor školství, kultury a sportu</w:t>
      </w:r>
      <w:r w:rsidR="00F5419E">
        <w:rPr>
          <w:i/>
          <w:sz w:val="22"/>
          <w:szCs w:val="22"/>
        </w:rPr>
        <w:t xml:space="preserve"> </w:t>
      </w:r>
    </w:p>
    <w:p w:rsidR="00927C7A" w:rsidRPr="00927C7A" w:rsidRDefault="00F5419E" w:rsidP="00F66305">
      <w:pPr>
        <w:rPr>
          <w:sz w:val="22"/>
          <w:szCs w:val="22"/>
        </w:rPr>
      </w:pPr>
      <w:r w:rsidRPr="00F5419E">
        <w:rPr>
          <w:sz w:val="22"/>
          <w:szCs w:val="22"/>
        </w:rPr>
        <w:t>V</w:t>
      </w:r>
      <w:r w:rsidR="00927C7A">
        <w:rPr>
          <w:sz w:val="22"/>
          <w:szCs w:val="22"/>
        </w:rPr>
        <w:t xml:space="preserve"> podkapitole školství byly výdaje plněny na 99,4 % a to částkou 140.015,5 </w:t>
      </w:r>
      <w:r w:rsidR="005E1108">
        <w:rPr>
          <w:sz w:val="22"/>
          <w:szCs w:val="22"/>
        </w:rPr>
        <w:t>tis. Kč</w:t>
      </w:r>
      <w:r w:rsidR="00927C7A">
        <w:rPr>
          <w:sz w:val="22"/>
          <w:szCs w:val="22"/>
        </w:rPr>
        <w:t>. Největší část v</w:t>
      </w:r>
      <w:r w:rsidR="00927C7A">
        <w:rPr>
          <w:sz w:val="22"/>
          <w:szCs w:val="22"/>
        </w:rPr>
        <w:t>ý</w:t>
      </w:r>
      <w:r w:rsidR="00927C7A">
        <w:rPr>
          <w:sz w:val="22"/>
          <w:szCs w:val="22"/>
        </w:rPr>
        <w:t>dajů byla určena na provozní příspěvky základním školám</w:t>
      </w:r>
      <w:r w:rsidR="00191D5A">
        <w:rPr>
          <w:sz w:val="22"/>
          <w:szCs w:val="22"/>
        </w:rPr>
        <w:t xml:space="preserve"> </w:t>
      </w:r>
      <w:r>
        <w:rPr>
          <w:sz w:val="22"/>
          <w:szCs w:val="22"/>
        </w:rPr>
        <w:t xml:space="preserve">69.580 </w:t>
      </w:r>
      <w:r w:rsidR="005E1108">
        <w:rPr>
          <w:sz w:val="22"/>
          <w:szCs w:val="22"/>
        </w:rPr>
        <w:t>tis. Kč</w:t>
      </w:r>
      <w:r>
        <w:rPr>
          <w:sz w:val="22"/>
          <w:szCs w:val="22"/>
        </w:rPr>
        <w:t xml:space="preserve"> a mateřským školám 15.959 </w:t>
      </w:r>
      <w:r w:rsidR="005E1108">
        <w:rPr>
          <w:sz w:val="22"/>
          <w:szCs w:val="22"/>
        </w:rPr>
        <w:t>tis. Kč</w:t>
      </w:r>
      <w:r>
        <w:rPr>
          <w:sz w:val="22"/>
          <w:szCs w:val="22"/>
        </w:rPr>
        <w:t>. Velká pozornost byla věnována školským objektů</w:t>
      </w:r>
      <w:r w:rsidR="009E4C5A">
        <w:rPr>
          <w:sz w:val="22"/>
          <w:szCs w:val="22"/>
        </w:rPr>
        <w:t>m</w:t>
      </w:r>
      <w:r>
        <w:rPr>
          <w:sz w:val="22"/>
          <w:szCs w:val="22"/>
        </w:rPr>
        <w:t>. Na oprav</w:t>
      </w:r>
      <w:r w:rsidR="002E4E77">
        <w:rPr>
          <w:sz w:val="22"/>
          <w:szCs w:val="22"/>
        </w:rPr>
        <w:t>u</w:t>
      </w:r>
      <w:r>
        <w:rPr>
          <w:sz w:val="22"/>
          <w:szCs w:val="22"/>
        </w:rPr>
        <w:t xml:space="preserve"> a udržování budov bylo vyn</w:t>
      </w:r>
      <w:r>
        <w:rPr>
          <w:sz w:val="22"/>
          <w:szCs w:val="22"/>
        </w:rPr>
        <w:t>a</w:t>
      </w:r>
      <w:r>
        <w:rPr>
          <w:sz w:val="22"/>
          <w:szCs w:val="22"/>
        </w:rPr>
        <w:t xml:space="preserve">loženo 21.100,2 </w:t>
      </w:r>
      <w:r w:rsidR="005E1108">
        <w:rPr>
          <w:sz w:val="22"/>
          <w:szCs w:val="22"/>
        </w:rPr>
        <w:t>tis. Kč</w:t>
      </w:r>
      <w:r>
        <w:rPr>
          <w:sz w:val="22"/>
          <w:szCs w:val="22"/>
        </w:rPr>
        <w:t>, přehled akcí je uveden v tabulce.</w:t>
      </w:r>
    </w:p>
    <w:p w:rsidR="00927C7A" w:rsidRDefault="00927C7A" w:rsidP="0092656F"/>
    <w:p w:rsidR="00DF54A6" w:rsidRDefault="00DF54A6" w:rsidP="003E450D">
      <w:pPr>
        <w:pStyle w:val="Bezmezer"/>
        <w:rPr>
          <w:rStyle w:val="Siln"/>
        </w:rPr>
      </w:pPr>
    </w:p>
    <w:p w:rsidR="005818F8" w:rsidRPr="003E450D" w:rsidRDefault="005818F8" w:rsidP="003E450D">
      <w:pPr>
        <w:pStyle w:val="Bezmezer"/>
        <w:rPr>
          <w:rStyle w:val="Siln"/>
        </w:rPr>
      </w:pPr>
      <w:r w:rsidRPr="003E450D">
        <w:rPr>
          <w:rStyle w:val="Siln"/>
        </w:rPr>
        <w:lastRenderedPageBreak/>
        <w:t>Opravy a udržování</w:t>
      </w:r>
      <w:r w:rsidR="002976E3">
        <w:rPr>
          <w:rStyle w:val="Siln"/>
        </w:rPr>
        <w:t xml:space="preserve"> školských zařízení</w:t>
      </w:r>
    </w:p>
    <w:tbl>
      <w:tblPr>
        <w:tblpPr w:leftFromText="141" w:rightFromText="141" w:vertAnchor="text" w:horzAnchor="margin" w:tblpX="114" w:tblpY="275"/>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6"/>
        <w:gridCol w:w="1593"/>
      </w:tblGrid>
      <w:tr w:rsidR="005818F8" w:rsidRPr="00C4542A" w:rsidTr="002976E3">
        <w:trPr>
          <w:trHeight w:val="421"/>
        </w:trPr>
        <w:tc>
          <w:tcPr>
            <w:tcW w:w="7406" w:type="dxa"/>
            <w:shd w:val="clear" w:color="auto" w:fill="EEECE1"/>
            <w:vAlign w:val="center"/>
          </w:tcPr>
          <w:p w:rsidR="005818F8" w:rsidRPr="00C4542A" w:rsidRDefault="005818F8" w:rsidP="00A15C1C">
            <w:pPr>
              <w:rPr>
                <w:b/>
                <w:sz w:val="20"/>
                <w:szCs w:val="20"/>
              </w:rPr>
            </w:pPr>
            <w:r w:rsidRPr="00C4542A">
              <w:rPr>
                <w:b/>
                <w:sz w:val="20"/>
                <w:szCs w:val="20"/>
              </w:rPr>
              <w:t>Opravy</w:t>
            </w:r>
            <w:r w:rsidR="00B47A5A" w:rsidRPr="00C4542A">
              <w:rPr>
                <w:b/>
                <w:sz w:val="20"/>
                <w:szCs w:val="20"/>
              </w:rPr>
              <w:t xml:space="preserve"> a udržování</w:t>
            </w:r>
            <w:r w:rsidR="002E4E77">
              <w:rPr>
                <w:b/>
                <w:sz w:val="20"/>
                <w:szCs w:val="20"/>
              </w:rPr>
              <w:t xml:space="preserve"> akce</w:t>
            </w:r>
          </w:p>
        </w:tc>
        <w:tc>
          <w:tcPr>
            <w:tcW w:w="1593" w:type="dxa"/>
            <w:shd w:val="clear" w:color="auto" w:fill="EEECE1"/>
            <w:vAlign w:val="center"/>
          </w:tcPr>
          <w:p w:rsidR="005818F8" w:rsidRPr="002976E3" w:rsidRDefault="002976E3" w:rsidP="002976E3">
            <w:pPr>
              <w:jc w:val="right"/>
              <w:rPr>
                <w:sz w:val="20"/>
                <w:szCs w:val="20"/>
              </w:rPr>
            </w:pPr>
            <w:r>
              <w:rPr>
                <w:sz w:val="20"/>
                <w:szCs w:val="20"/>
              </w:rPr>
              <w:t>t</w:t>
            </w:r>
            <w:r w:rsidRPr="002976E3">
              <w:rPr>
                <w:sz w:val="20"/>
                <w:szCs w:val="20"/>
              </w:rPr>
              <w:t xml:space="preserve">is. Kč </w:t>
            </w:r>
          </w:p>
        </w:tc>
      </w:tr>
      <w:tr w:rsidR="005818F8" w:rsidRPr="00C4542A" w:rsidTr="00D73B33">
        <w:tc>
          <w:tcPr>
            <w:tcW w:w="7406" w:type="dxa"/>
          </w:tcPr>
          <w:p w:rsidR="005818F8" w:rsidRPr="00C4542A" w:rsidRDefault="005818F8" w:rsidP="00CB3B19">
            <w:pPr>
              <w:jc w:val="both"/>
              <w:rPr>
                <w:sz w:val="20"/>
                <w:szCs w:val="20"/>
              </w:rPr>
            </w:pPr>
            <w:r w:rsidRPr="00C4542A">
              <w:rPr>
                <w:sz w:val="20"/>
                <w:szCs w:val="20"/>
              </w:rPr>
              <w:t>FZŠ Praha 5 - Smíchov, Drtinova 1861/1 - oprava dlažby na cestě pro zásobování</w:t>
            </w:r>
          </w:p>
        </w:tc>
        <w:tc>
          <w:tcPr>
            <w:tcW w:w="1593" w:type="dxa"/>
            <w:shd w:val="clear" w:color="auto" w:fill="auto"/>
            <w:vAlign w:val="center"/>
          </w:tcPr>
          <w:p w:rsidR="005818F8" w:rsidRPr="00C4542A" w:rsidRDefault="005818F8" w:rsidP="004A386B">
            <w:pPr>
              <w:tabs>
                <w:tab w:val="center" w:pos="688"/>
                <w:tab w:val="right" w:pos="1377"/>
              </w:tabs>
              <w:jc w:val="right"/>
              <w:rPr>
                <w:sz w:val="20"/>
                <w:szCs w:val="20"/>
              </w:rPr>
            </w:pPr>
            <w:r w:rsidRPr="00C4542A">
              <w:rPr>
                <w:sz w:val="20"/>
                <w:szCs w:val="20"/>
              </w:rPr>
              <w:t>658,1</w:t>
            </w:r>
            <w:r w:rsidR="00CD417C">
              <w:rPr>
                <w:sz w:val="20"/>
                <w:szCs w:val="20"/>
              </w:rPr>
              <w:t>0</w:t>
            </w:r>
            <w:r w:rsidRPr="00C4542A">
              <w:rPr>
                <w:sz w:val="20"/>
                <w:szCs w:val="20"/>
              </w:rPr>
              <w:t xml:space="preserve"> </w:t>
            </w:r>
          </w:p>
        </w:tc>
      </w:tr>
      <w:tr w:rsidR="005818F8" w:rsidRPr="00C4542A" w:rsidTr="00A15C1C">
        <w:tc>
          <w:tcPr>
            <w:tcW w:w="7406" w:type="dxa"/>
          </w:tcPr>
          <w:p w:rsidR="005818F8" w:rsidRPr="00C4542A" w:rsidRDefault="005818F8" w:rsidP="00A15C1C">
            <w:pPr>
              <w:jc w:val="both"/>
              <w:rPr>
                <w:sz w:val="20"/>
                <w:szCs w:val="20"/>
              </w:rPr>
            </w:pPr>
            <w:r w:rsidRPr="00C4542A">
              <w:rPr>
                <w:sz w:val="20"/>
                <w:szCs w:val="20"/>
              </w:rPr>
              <w:t>FZŠ Praha 5 - Smíchov, Drtinova 1861/1- střecha</w:t>
            </w:r>
          </w:p>
        </w:tc>
        <w:tc>
          <w:tcPr>
            <w:tcW w:w="1593" w:type="dxa"/>
          </w:tcPr>
          <w:p w:rsidR="005818F8" w:rsidRPr="00C4542A" w:rsidRDefault="002E4E77" w:rsidP="002E4E77">
            <w:pPr>
              <w:jc w:val="right"/>
              <w:rPr>
                <w:sz w:val="20"/>
                <w:szCs w:val="20"/>
              </w:rPr>
            </w:pPr>
            <w:r>
              <w:rPr>
                <w:sz w:val="20"/>
                <w:szCs w:val="20"/>
              </w:rPr>
              <w:t>3.</w:t>
            </w:r>
            <w:r w:rsidR="005818F8" w:rsidRPr="00C4542A">
              <w:rPr>
                <w:sz w:val="20"/>
                <w:szCs w:val="20"/>
              </w:rPr>
              <w:t>305,9</w:t>
            </w:r>
            <w:r w:rsidR="00CD417C">
              <w:rPr>
                <w:sz w:val="20"/>
                <w:szCs w:val="20"/>
              </w:rPr>
              <w:t>0</w:t>
            </w:r>
            <w:r w:rsidR="005818F8" w:rsidRPr="00C4542A">
              <w:rPr>
                <w:sz w:val="20"/>
                <w:szCs w:val="20"/>
              </w:rPr>
              <w:t xml:space="preserve"> </w:t>
            </w:r>
          </w:p>
        </w:tc>
      </w:tr>
      <w:tr w:rsidR="005818F8" w:rsidRPr="00C4542A" w:rsidTr="00A15C1C">
        <w:tc>
          <w:tcPr>
            <w:tcW w:w="7406" w:type="dxa"/>
          </w:tcPr>
          <w:p w:rsidR="005818F8" w:rsidRPr="00C4542A" w:rsidRDefault="005818F8" w:rsidP="00A15C1C">
            <w:pPr>
              <w:jc w:val="both"/>
              <w:rPr>
                <w:sz w:val="20"/>
                <w:szCs w:val="20"/>
              </w:rPr>
            </w:pPr>
            <w:r w:rsidRPr="00C4542A">
              <w:rPr>
                <w:sz w:val="20"/>
                <w:szCs w:val="20"/>
              </w:rPr>
              <w:t>ZŠ a MŠ U Santošky – objekt MŠ – oprava suterénu</w:t>
            </w:r>
          </w:p>
        </w:tc>
        <w:tc>
          <w:tcPr>
            <w:tcW w:w="1593" w:type="dxa"/>
          </w:tcPr>
          <w:p w:rsidR="005818F8" w:rsidRPr="00C4542A" w:rsidRDefault="002E4E77" w:rsidP="00A15C1C">
            <w:pPr>
              <w:jc w:val="right"/>
              <w:rPr>
                <w:sz w:val="20"/>
                <w:szCs w:val="20"/>
              </w:rPr>
            </w:pPr>
            <w:r>
              <w:rPr>
                <w:sz w:val="20"/>
                <w:szCs w:val="20"/>
              </w:rPr>
              <w:t>1.</w:t>
            </w:r>
            <w:r w:rsidR="005818F8" w:rsidRPr="00C4542A">
              <w:rPr>
                <w:sz w:val="20"/>
                <w:szCs w:val="20"/>
              </w:rPr>
              <w:t>018,5</w:t>
            </w:r>
            <w:r w:rsidR="00CD417C">
              <w:rPr>
                <w:sz w:val="20"/>
                <w:szCs w:val="20"/>
              </w:rPr>
              <w:t>0</w:t>
            </w:r>
            <w:r w:rsidR="005818F8" w:rsidRPr="00C4542A">
              <w:rPr>
                <w:sz w:val="20"/>
                <w:szCs w:val="20"/>
              </w:rPr>
              <w:t xml:space="preserve"> </w:t>
            </w:r>
          </w:p>
        </w:tc>
      </w:tr>
      <w:tr w:rsidR="005818F8" w:rsidRPr="00C4542A" w:rsidTr="00A15C1C">
        <w:tc>
          <w:tcPr>
            <w:tcW w:w="7406" w:type="dxa"/>
          </w:tcPr>
          <w:p w:rsidR="005818F8" w:rsidRPr="00C4542A" w:rsidRDefault="005818F8" w:rsidP="00A15C1C">
            <w:pPr>
              <w:jc w:val="both"/>
              <w:rPr>
                <w:sz w:val="20"/>
                <w:szCs w:val="20"/>
              </w:rPr>
            </w:pPr>
            <w:r w:rsidRPr="00C4542A">
              <w:rPr>
                <w:sz w:val="20"/>
                <w:szCs w:val="20"/>
              </w:rPr>
              <w:t>ZŠ Nepomucká – objekt Beníškové – oprava venkovní ležaté kanalizace</w:t>
            </w:r>
          </w:p>
        </w:tc>
        <w:tc>
          <w:tcPr>
            <w:tcW w:w="1593" w:type="dxa"/>
          </w:tcPr>
          <w:p w:rsidR="005818F8" w:rsidRPr="00C4542A" w:rsidRDefault="005818F8" w:rsidP="002E4E77">
            <w:pPr>
              <w:jc w:val="right"/>
              <w:rPr>
                <w:sz w:val="20"/>
                <w:szCs w:val="20"/>
              </w:rPr>
            </w:pPr>
            <w:r w:rsidRPr="00C4542A">
              <w:rPr>
                <w:sz w:val="20"/>
                <w:szCs w:val="20"/>
              </w:rPr>
              <w:t>1</w:t>
            </w:r>
            <w:r w:rsidR="002E4E77">
              <w:rPr>
                <w:sz w:val="20"/>
                <w:szCs w:val="20"/>
              </w:rPr>
              <w:t>.</w:t>
            </w:r>
            <w:r w:rsidRPr="00C4542A">
              <w:rPr>
                <w:sz w:val="20"/>
                <w:szCs w:val="20"/>
              </w:rPr>
              <w:t>881,8</w:t>
            </w:r>
            <w:r w:rsidR="00CD417C">
              <w:rPr>
                <w:sz w:val="20"/>
                <w:szCs w:val="20"/>
              </w:rPr>
              <w:t>0</w:t>
            </w:r>
            <w:r w:rsidRPr="00C4542A">
              <w:rPr>
                <w:sz w:val="20"/>
                <w:szCs w:val="20"/>
              </w:rPr>
              <w:t xml:space="preserve"> </w:t>
            </w:r>
          </w:p>
        </w:tc>
      </w:tr>
      <w:tr w:rsidR="005818F8" w:rsidRPr="00C4542A" w:rsidTr="00A15C1C">
        <w:tc>
          <w:tcPr>
            <w:tcW w:w="7406" w:type="dxa"/>
          </w:tcPr>
          <w:p w:rsidR="005818F8" w:rsidRPr="00C4542A" w:rsidRDefault="005818F8" w:rsidP="00A15C1C">
            <w:pPr>
              <w:jc w:val="both"/>
              <w:rPr>
                <w:sz w:val="20"/>
                <w:szCs w:val="20"/>
              </w:rPr>
            </w:pPr>
            <w:r w:rsidRPr="00C4542A">
              <w:rPr>
                <w:sz w:val="20"/>
                <w:szCs w:val="20"/>
              </w:rPr>
              <w:t>ZŠ a MŠ Radlická – oprava fasády včetně nátěru</w:t>
            </w:r>
          </w:p>
        </w:tc>
        <w:tc>
          <w:tcPr>
            <w:tcW w:w="1593" w:type="dxa"/>
          </w:tcPr>
          <w:p w:rsidR="005818F8" w:rsidRPr="00C4542A" w:rsidRDefault="002E4E77" w:rsidP="00A15C1C">
            <w:pPr>
              <w:jc w:val="right"/>
              <w:rPr>
                <w:sz w:val="20"/>
                <w:szCs w:val="20"/>
              </w:rPr>
            </w:pPr>
            <w:r>
              <w:rPr>
                <w:sz w:val="20"/>
                <w:szCs w:val="20"/>
              </w:rPr>
              <w:t>3.</w:t>
            </w:r>
            <w:r w:rsidR="005818F8" w:rsidRPr="00C4542A">
              <w:rPr>
                <w:sz w:val="20"/>
                <w:szCs w:val="20"/>
              </w:rPr>
              <w:t>887,0</w:t>
            </w:r>
            <w:r w:rsidR="00CD417C">
              <w:rPr>
                <w:sz w:val="20"/>
                <w:szCs w:val="20"/>
              </w:rPr>
              <w:t>0</w:t>
            </w:r>
            <w:r w:rsidR="005818F8" w:rsidRPr="00C4542A">
              <w:rPr>
                <w:sz w:val="20"/>
                <w:szCs w:val="20"/>
              </w:rPr>
              <w:t xml:space="preserve"> </w:t>
            </w:r>
          </w:p>
        </w:tc>
      </w:tr>
      <w:tr w:rsidR="005818F8" w:rsidRPr="00C4542A" w:rsidTr="00A15C1C">
        <w:tc>
          <w:tcPr>
            <w:tcW w:w="7406" w:type="dxa"/>
          </w:tcPr>
          <w:p w:rsidR="005818F8" w:rsidRPr="00C4542A" w:rsidRDefault="005818F8" w:rsidP="00A15C1C">
            <w:pPr>
              <w:jc w:val="both"/>
              <w:rPr>
                <w:sz w:val="20"/>
                <w:szCs w:val="20"/>
              </w:rPr>
            </w:pPr>
            <w:r w:rsidRPr="00C4542A">
              <w:rPr>
                <w:sz w:val="20"/>
                <w:szCs w:val="20"/>
              </w:rPr>
              <w:t>ZŠ Kořenského –výměna dlažby na chodbách</w:t>
            </w:r>
          </w:p>
        </w:tc>
        <w:tc>
          <w:tcPr>
            <w:tcW w:w="1593" w:type="dxa"/>
          </w:tcPr>
          <w:p w:rsidR="005818F8" w:rsidRPr="00C4542A" w:rsidRDefault="002E4E77" w:rsidP="00DF54A6">
            <w:pPr>
              <w:jc w:val="right"/>
              <w:rPr>
                <w:sz w:val="20"/>
                <w:szCs w:val="20"/>
              </w:rPr>
            </w:pPr>
            <w:r>
              <w:rPr>
                <w:sz w:val="20"/>
                <w:szCs w:val="20"/>
              </w:rPr>
              <w:t>3.</w:t>
            </w:r>
            <w:r w:rsidR="00CD417C">
              <w:rPr>
                <w:sz w:val="20"/>
                <w:szCs w:val="20"/>
              </w:rPr>
              <w:t>68</w:t>
            </w:r>
            <w:r w:rsidR="00DF54A6">
              <w:rPr>
                <w:sz w:val="20"/>
                <w:szCs w:val="20"/>
              </w:rPr>
              <w:t>2</w:t>
            </w:r>
            <w:r w:rsidR="00CD417C">
              <w:rPr>
                <w:sz w:val="20"/>
                <w:szCs w:val="20"/>
              </w:rPr>
              <w:t>,</w:t>
            </w:r>
            <w:r w:rsidR="00DF54A6">
              <w:rPr>
                <w:sz w:val="20"/>
                <w:szCs w:val="20"/>
              </w:rPr>
              <w:t>9</w:t>
            </w:r>
            <w:r w:rsidR="00CD417C">
              <w:rPr>
                <w:sz w:val="20"/>
                <w:szCs w:val="20"/>
              </w:rPr>
              <w:t>0</w:t>
            </w:r>
          </w:p>
        </w:tc>
      </w:tr>
      <w:tr w:rsidR="005818F8" w:rsidRPr="00C4542A" w:rsidTr="00A15C1C">
        <w:tc>
          <w:tcPr>
            <w:tcW w:w="7406" w:type="dxa"/>
          </w:tcPr>
          <w:p w:rsidR="005818F8" w:rsidRPr="00C4542A" w:rsidRDefault="005818F8" w:rsidP="00A15C1C">
            <w:pPr>
              <w:jc w:val="both"/>
              <w:rPr>
                <w:sz w:val="20"/>
                <w:szCs w:val="20"/>
              </w:rPr>
            </w:pPr>
            <w:r w:rsidRPr="00C4542A">
              <w:rPr>
                <w:sz w:val="20"/>
                <w:szCs w:val="20"/>
              </w:rPr>
              <w:t>ZŠ a MŠ Grafická – objekt MŠ Holečkova – sanace části opěrné zdi</w:t>
            </w:r>
          </w:p>
        </w:tc>
        <w:tc>
          <w:tcPr>
            <w:tcW w:w="1593" w:type="dxa"/>
          </w:tcPr>
          <w:p w:rsidR="005818F8" w:rsidRPr="00C4542A" w:rsidRDefault="002E4E77" w:rsidP="00A15C1C">
            <w:pPr>
              <w:jc w:val="right"/>
              <w:rPr>
                <w:sz w:val="20"/>
                <w:szCs w:val="20"/>
              </w:rPr>
            </w:pPr>
            <w:r>
              <w:rPr>
                <w:sz w:val="20"/>
                <w:szCs w:val="20"/>
              </w:rPr>
              <w:t>2.</w:t>
            </w:r>
            <w:r w:rsidR="005818F8" w:rsidRPr="00C4542A">
              <w:rPr>
                <w:sz w:val="20"/>
                <w:szCs w:val="20"/>
              </w:rPr>
              <w:t>133,8</w:t>
            </w:r>
            <w:r w:rsidR="00CD417C">
              <w:rPr>
                <w:sz w:val="20"/>
                <w:szCs w:val="20"/>
              </w:rPr>
              <w:t>0</w:t>
            </w:r>
            <w:r w:rsidR="005818F8" w:rsidRPr="00C4542A">
              <w:rPr>
                <w:sz w:val="20"/>
                <w:szCs w:val="20"/>
              </w:rPr>
              <w:t xml:space="preserve"> </w:t>
            </w:r>
          </w:p>
        </w:tc>
      </w:tr>
      <w:tr w:rsidR="005818F8" w:rsidRPr="00C4542A" w:rsidTr="00A15C1C">
        <w:tc>
          <w:tcPr>
            <w:tcW w:w="7406" w:type="dxa"/>
          </w:tcPr>
          <w:p w:rsidR="005818F8" w:rsidRPr="00C4542A" w:rsidRDefault="005818F8" w:rsidP="00A15C1C">
            <w:pPr>
              <w:jc w:val="both"/>
              <w:rPr>
                <w:sz w:val="20"/>
                <w:szCs w:val="20"/>
              </w:rPr>
            </w:pPr>
            <w:r w:rsidRPr="00C4542A">
              <w:rPr>
                <w:sz w:val="20"/>
                <w:szCs w:val="20"/>
              </w:rPr>
              <w:t>MŠ Nad Palatou</w:t>
            </w:r>
            <w:r w:rsidR="00AA76C9" w:rsidRPr="00C4542A">
              <w:rPr>
                <w:sz w:val="20"/>
                <w:szCs w:val="20"/>
              </w:rPr>
              <w:t xml:space="preserve"> </w:t>
            </w:r>
            <w:r w:rsidRPr="00C4542A">
              <w:rPr>
                <w:sz w:val="20"/>
                <w:szCs w:val="20"/>
              </w:rPr>
              <w:t>–výměna oken budovy MŠ, oprava venkovních soc. zař.</w:t>
            </w:r>
          </w:p>
        </w:tc>
        <w:tc>
          <w:tcPr>
            <w:tcW w:w="1593" w:type="dxa"/>
          </w:tcPr>
          <w:p w:rsidR="005818F8" w:rsidRPr="00C4542A" w:rsidRDefault="002E4E77" w:rsidP="00DF54A6">
            <w:pPr>
              <w:jc w:val="right"/>
              <w:rPr>
                <w:sz w:val="20"/>
                <w:szCs w:val="20"/>
              </w:rPr>
            </w:pPr>
            <w:r>
              <w:rPr>
                <w:sz w:val="20"/>
                <w:szCs w:val="20"/>
              </w:rPr>
              <w:t>1.</w:t>
            </w:r>
            <w:r w:rsidR="005818F8" w:rsidRPr="00C4542A">
              <w:rPr>
                <w:sz w:val="20"/>
                <w:szCs w:val="20"/>
              </w:rPr>
              <w:t>411,</w:t>
            </w:r>
            <w:r w:rsidR="00DF54A6">
              <w:rPr>
                <w:sz w:val="20"/>
                <w:szCs w:val="20"/>
              </w:rPr>
              <w:t>4</w:t>
            </w:r>
            <w:r w:rsidR="00CD417C">
              <w:rPr>
                <w:sz w:val="20"/>
                <w:szCs w:val="20"/>
              </w:rPr>
              <w:t>0</w:t>
            </w:r>
            <w:r w:rsidR="005818F8" w:rsidRPr="00C4542A">
              <w:rPr>
                <w:sz w:val="20"/>
                <w:szCs w:val="20"/>
              </w:rPr>
              <w:t xml:space="preserve"> </w:t>
            </w:r>
          </w:p>
        </w:tc>
      </w:tr>
      <w:tr w:rsidR="005818F8" w:rsidRPr="00C4542A" w:rsidTr="00A15C1C">
        <w:tc>
          <w:tcPr>
            <w:tcW w:w="7406" w:type="dxa"/>
          </w:tcPr>
          <w:p w:rsidR="005818F8" w:rsidRPr="00C4542A" w:rsidRDefault="005818F8" w:rsidP="00A15C1C">
            <w:pPr>
              <w:jc w:val="both"/>
              <w:rPr>
                <w:sz w:val="20"/>
                <w:szCs w:val="20"/>
              </w:rPr>
            </w:pPr>
            <w:r w:rsidRPr="00C4542A">
              <w:rPr>
                <w:sz w:val="20"/>
                <w:szCs w:val="20"/>
              </w:rPr>
              <w:t>MŠ Tréglova – výměna oken</w:t>
            </w:r>
          </w:p>
        </w:tc>
        <w:tc>
          <w:tcPr>
            <w:tcW w:w="1593" w:type="dxa"/>
          </w:tcPr>
          <w:p w:rsidR="005818F8" w:rsidRPr="00C4542A" w:rsidRDefault="002E4E77" w:rsidP="00DF54A6">
            <w:pPr>
              <w:jc w:val="right"/>
              <w:rPr>
                <w:sz w:val="20"/>
                <w:szCs w:val="20"/>
              </w:rPr>
            </w:pPr>
            <w:r>
              <w:rPr>
                <w:sz w:val="20"/>
                <w:szCs w:val="20"/>
              </w:rPr>
              <w:t>2.</w:t>
            </w:r>
            <w:r w:rsidR="00CD417C">
              <w:rPr>
                <w:sz w:val="20"/>
                <w:szCs w:val="20"/>
              </w:rPr>
              <w:t>799,</w:t>
            </w:r>
            <w:r w:rsidR="00DF54A6">
              <w:rPr>
                <w:sz w:val="20"/>
                <w:szCs w:val="20"/>
              </w:rPr>
              <w:t>5</w:t>
            </w:r>
            <w:r w:rsidR="00CD417C">
              <w:rPr>
                <w:sz w:val="20"/>
                <w:szCs w:val="20"/>
              </w:rPr>
              <w:t>0</w:t>
            </w:r>
          </w:p>
        </w:tc>
      </w:tr>
      <w:tr w:rsidR="005818F8" w:rsidRPr="00C4542A" w:rsidTr="00A15C1C">
        <w:tc>
          <w:tcPr>
            <w:tcW w:w="7406" w:type="dxa"/>
          </w:tcPr>
          <w:p w:rsidR="005818F8" w:rsidRPr="00C4542A" w:rsidRDefault="005818F8" w:rsidP="00871745">
            <w:pPr>
              <w:jc w:val="both"/>
              <w:rPr>
                <w:sz w:val="20"/>
                <w:szCs w:val="20"/>
              </w:rPr>
            </w:pPr>
            <w:r w:rsidRPr="00C4542A">
              <w:rPr>
                <w:sz w:val="20"/>
                <w:szCs w:val="20"/>
              </w:rPr>
              <w:t>MŠ Peroutkova – odstranění havárie plyn</w:t>
            </w:r>
            <w:r w:rsidR="00871745">
              <w:rPr>
                <w:sz w:val="20"/>
                <w:szCs w:val="20"/>
              </w:rPr>
              <w:t xml:space="preserve">ové </w:t>
            </w:r>
            <w:r w:rsidRPr="00C4542A">
              <w:rPr>
                <w:sz w:val="20"/>
                <w:szCs w:val="20"/>
              </w:rPr>
              <w:t>přípojky</w:t>
            </w:r>
          </w:p>
        </w:tc>
        <w:tc>
          <w:tcPr>
            <w:tcW w:w="1593" w:type="dxa"/>
          </w:tcPr>
          <w:p w:rsidR="005818F8" w:rsidRPr="00C4542A" w:rsidRDefault="005818F8" w:rsidP="00A15C1C">
            <w:pPr>
              <w:jc w:val="right"/>
              <w:rPr>
                <w:sz w:val="20"/>
                <w:szCs w:val="20"/>
              </w:rPr>
            </w:pPr>
            <w:r w:rsidRPr="00C4542A">
              <w:rPr>
                <w:sz w:val="20"/>
                <w:szCs w:val="20"/>
              </w:rPr>
              <w:t>80,9</w:t>
            </w:r>
            <w:r w:rsidR="00CD417C">
              <w:rPr>
                <w:sz w:val="20"/>
                <w:szCs w:val="20"/>
              </w:rPr>
              <w:t>0</w:t>
            </w:r>
            <w:r w:rsidRPr="00C4542A">
              <w:rPr>
                <w:sz w:val="20"/>
                <w:szCs w:val="20"/>
              </w:rPr>
              <w:t xml:space="preserve"> </w:t>
            </w:r>
          </w:p>
        </w:tc>
      </w:tr>
      <w:tr w:rsidR="005818F8" w:rsidRPr="00C4542A" w:rsidTr="00A15C1C">
        <w:tc>
          <w:tcPr>
            <w:tcW w:w="7406" w:type="dxa"/>
          </w:tcPr>
          <w:p w:rsidR="005818F8" w:rsidRPr="00C4542A" w:rsidRDefault="005818F8" w:rsidP="00A15C1C">
            <w:pPr>
              <w:jc w:val="both"/>
              <w:rPr>
                <w:sz w:val="20"/>
                <w:szCs w:val="20"/>
              </w:rPr>
            </w:pPr>
            <w:r w:rsidRPr="00C4542A">
              <w:rPr>
                <w:sz w:val="20"/>
                <w:szCs w:val="20"/>
              </w:rPr>
              <w:t>ZŠ a MŠ Radlická – oprava části plotu</w:t>
            </w:r>
          </w:p>
        </w:tc>
        <w:tc>
          <w:tcPr>
            <w:tcW w:w="1593" w:type="dxa"/>
          </w:tcPr>
          <w:p w:rsidR="005818F8" w:rsidRPr="00C4542A" w:rsidRDefault="005818F8" w:rsidP="00A15C1C">
            <w:pPr>
              <w:jc w:val="right"/>
              <w:rPr>
                <w:sz w:val="20"/>
                <w:szCs w:val="20"/>
              </w:rPr>
            </w:pPr>
            <w:r w:rsidRPr="00C4542A">
              <w:rPr>
                <w:sz w:val="20"/>
                <w:szCs w:val="20"/>
              </w:rPr>
              <w:t>240,4</w:t>
            </w:r>
            <w:r w:rsidR="00CD417C">
              <w:rPr>
                <w:sz w:val="20"/>
                <w:szCs w:val="20"/>
              </w:rPr>
              <w:t>0</w:t>
            </w:r>
            <w:r w:rsidRPr="00C4542A">
              <w:rPr>
                <w:sz w:val="20"/>
                <w:szCs w:val="20"/>
              </w:rPr>
              <w:t xml:space="preserve"> </w:t>
            </w:r>
          </w:p>
        </w:tc>
      </w:tr>
      <w:tr w:rsidR="0017694E" w:rsidRPr="00C4542A" w:rsidTr="00A15C1C">
        <w:trPr>
          <w:trHeight w:val="460"/>
        </w:trPr>
        <w:tc>
          <w:tcPr>
            <w:tcW w:w="7406" w:type="dxa"/>
            <w:shd w:val="clear" w:color="auto" w:fill="DDD9C3"/>
            <w:vAlign w:val="center"/>
          </w:tcPr>
          <w:p w:rsidR="0017694E" w:rsidRPr="00C4542A" w:rsidRDefault="0017694E" w:rsidP="00A15C1C">
            <w:pPr>
              <w:rPr>
                <w:b/>
                <w:sz w:val="20"/>
                <w:szCs w:val="20"/>
              </w:rPr>
            </w:pPr>
            <w:r w:rsidRPr="00C4542A">
              <w:rPr>
                <w:b/>
                <w:sz w:val="20"/>
                <w:szCs w:val="20"/>
              </w:rPr>
              <w:t>Celkem</w:t>
            </w:r>
          </w:p>
        </w:tc>
        <w:tc>
          <w:tcPr>
            <w:tcW w:w="1593" w:type="dxa"/>
            <w:shd w:val="clear" w:color="auto" w:fill="DDD9C3"/>
            <w:vAlign w:val="center"/>
          </w:tcPr>
          <w:p w:rsidR="0017694E" w:rsidRPr="00C4542A" w:rsidRDefault="002E4E77" w:rsidP="00A15C1C">
            <w:pPr>
              <w:jc w:val="right"/>
              <w:rPr>
                <w:b/>
                <w:sz w:val="20"/>
                <w:szCs w:val="20"/>
              </w:rPr>
            </w:pPr>
            <w:r>
              <w:rPr>
                <w:b/>
                <w:sz w:val="20"/>
                <w:szCs w:val="20"/>
              </w:rPr>
              <w:t>21.</w:t>
            </w:r>
            <w:r w:rsidR="0017694E" w:rsidRPr="00C4542A">
              <w:rPr>
                <w:b/>
                <w:sz w:val="20"/>
                <w:szCs w:val="20"/>
              </w:rPr>
              <w:t>100,2</w:t>
            </w:r>
            <w:r w:rsidR="00CD417C">
              <w:rPr>
                <w:b/>
                <w:sz w:val="20"/>
                <w:szCs w:val="20"/>
              </w:rPr>
              <w:t>0</w:t>
            </w:r>
            <w:r w:rsidR="0017694E" w:rsidRPr="00C4542A">
              <w:rPr>
                <w:b/>
                <w:sz w:val="20"/>
                <w:szCs w:val="20"/>
              </w:rPr>
              <w:t xml:space="preserve"> </w:t>
            </w:r>
          </w:p>
        </w:tc>
      </w:tr>
    </w:tbl>
    <w:p w:rsidR="005818F8" w:rsidRDefault="005818F8" w:rsidP="005818F8">
      <w:pPr>
        <w:jc w:val="both"/>
        <w:rPr>
          <w:sz w:val="22"/>
          <w:szCs w:val="22"/>
        </w:rPr>
      </w:pPr>
    </w:p>
    <w:p w:rsidR="004E4EDE" w:rsidRDefault="004E4EDE" w:rsidP="005818F8">
      <w:pPr>
        <w:jc w:val="both"/>
        <w:rPr>
          <w:sz w:val="22"/>
          <w:szCs w:val="22"/>
        </w:rPr>
      </w:pPr>
    </w:p>
    <w:p w:rsidR="005818F8" w:rsidRDefault="004E4EDE" w:rsidP="005818F8">
      <w:pPr>
        <w:jc w:val="both"/>
        <w:rPr>
          <w:sz w:val="22"/>
          <w:szCs w:val="22"/>
        </w:rPr>
      </w:pPr>
      <w:r w:rsidRPr="00D52798">
        <w:rPr>
          <w:sz w:val="22"/>
          <w:szCs w:val="22"/>
        </w:rPr>
        <w:t>Plánované opravy byly čerpány vesměs na 100 % k </w:t>
      </w:r>
      <w:proofErr w:type="gramStart"/>
      <w:r w:rsidRPr="00D52798">
        <w:rPr>
          <w:sz w:val="22"/>
          <w:szCs w:val="22"/>
        </w:rPr>
        <w:t>UR</w:t>
      </w:r>
      <w:proofErr w:type="gramEnd"/>
      <w:r w:rsidRPr="00D52798">
        <w:rPr>
          <w:sz w:val="22"/>
          <w:szCs w:val="22"/>
        </w:rPr>
        <w:t xml:space="preserve">, v plné výši byly realizovány opravy na těchto akcích: oprava fasády včetně nátěru u ZŠ a MŠ Radlická (UR 3.887 </w:t>
      </w:r>
      <w:r>
        <w:rPr>
          <w:sz w:val="22"/>
          <w:szCs w:val="22"/>
        </w:rPr>
        <w:t>tis. Kč</w:t>
      </w:r>
      <w:r w:rsidRPr="00D52798">
        <w:rPr>
          <w:sz w:val="22"/>
          <w:szCs w:val="22"/>
        </w:rPr>
        <w:t>), výměna dlažby na cho</w:t>
      </w:r>
      <w:r w:rsidRPr="00D52798">
        <w:rPr>
          <w:sz w:val="22"/>
          <w:szCs w:val="22"/>
        </w:rPr>
        <w:t>d</w:t>
      </w:r>
      <w:r w:rsidRPr="00D52798">
        <w:rPr>
          <w:sz w:val="22"/>
          <w:szCs w:val="22"/>
        </w:rPr>
        <w:t xml:space="preserve">bách ZŠ </w:t>
      </w:r>
      <w:proofErr w:type="spellStart"/>
      <w:r w:rsidRPr="00D52798">
        <w:rPr>
          <w:sz w:val="22"/>
          <w:szCs w:val="22"/>
        </w:rPr>
        <w:t>Kořenského</w:t>
      </w:r>
      <w:proofErr w:type="spellEnd"/>
      <w:r w:rsidRPr="00D52798">
        <w:rPr>
          <w:sz w:val="22"/>
          <w:szCs w:val="22"/>
        </w:rPr>
        <w:t xml:space="preserve"> (UR 3.68</w:t>
      </w:r>
      <w:r w:rsidR="009F7A94">
        <w:rPr>
          <w:sz w:val="22"/>
          <w:szCs w:val="22"/>
        </w:rPr>
        <w:t>2,9</w:t>
      </w:r>
      <w:r w:rsidRPr="00D52798">
        <w:rPr>
          <w:sz w:val="22"/>
          <w:szCs w:val="22"/>
        </w:rPr>
        <w:t xml:space="preserve"> </w:t>
      </w:r>
      <w:r>
        <w:rPr>
          <w:sz w:val="22"/>
          <w:szCs w:val="22"/>
        </w:rPr>
        <w:t>tis. Kč</w:t>
      </w:r>
      <w:r w:rsidRPr="00D52798">
        <w:rPr>
          <w:sz w:val="22"/>
          <w:szCs w:val="22"/>
        </w:rPr>
        <w:t>), u MŠ Nad Palatou výměna oken a oprava venkovních soc</w:t>
      </w:r>
      <w:r w:rsidRPr="00D52798">
        <w:rPr>
          <w:sz w:val="22"/>
          <w:szCs w:val="22"/>
        </w:rPr>
        <w:t>i</w:t>
      </w:r>
      <w:r w:rsidRPr="00D52798">
        <w:rPr>
          <w:sz w:val="22"/>
          <w:szCs w:val="22"/>
        </w:rPr>
        <w:t>álních zařízení (UR 1.411,</w:t>
      </w:r>
      <w:r w:rsidR="009F7A94">
        <w:rPr>
          <w:sz w:val="22"/>
          <w:szCs w:val="22"/>
        </w:rPr>
        <w:t>4</w:t>
      </w:r>
      <w:r w:rsidRPr="00D52798">
        <w:rPr>
          <w:sz w:val="22"/>
          <w:szCs w:val="22"/>
        </w:rPr>
        <w:t xml:space="preserve"> </w:t>
      </w:r>
      <w:r>
        <w:rPr>
          <w:sz w:val="22"/>
          <w:szCs w:val="22"/>
        </w:rPr>
        <w:t>tis. Kč</w:t>
      </w:r>
      <w:r w:rsidRPr="00D52798">
        <w:rPr>
          <w:sz w:val="22"/>
          <w:szCs w:val="22"/>
        </w:rPr>
        <w:t xml:space="preserve">) a výměna oken u MŠ </w:t>
      </w:r>
      <w:proofErr w:type="spellStart"/>
      <w:r w:rsidRPr="00D52798">
        <w:rPr>
          <w:sz w:val="22"/>
          <w:szCs w:val="22"/>
        </w:rPr>
        <w:t>Tréglova</w:t>
      </w:r>
      <w:proofErr w:type="spellEnd"/>
      <w:r w:rsidRPr="00D52798">
        <w:rPr>
          <w:sz w:val="22"/>
          <w:szCs w:val="22"/>
        </w:rPr>
        <w:t xml:space="preserve"> (UR 2.799,</w:t>
      </w:r>
      <w:r w:rsidR="009F7A94">
        <w:rPr>
          <w:sz w:val="22"/>
          <w:szCs w:val="22"/>
        </w:rPr>
        <w:t>5</w:t>
      </w:r>
      <w:r w:rsidRPr="00D52798">
        <w:rPr>
          <w:sz w:val="22"/>
          <w:szCs w:val="22"/>
        </w:rPr>
        <w:t xml:space="preserve"> </w:t>
      </w:r>
      <w:r>
        <w:rPr>
          <w:sz w:val="22"/>
          <w:szCs w:val="22"/>
        </w:rPr>
        <w:t>tis. Kč</w:t>
      </w:r>
      <w:r w:rsidRPr="00D52798">
        <w:rPr>
          <w:sz w:val="22"/>
          <w:szCs w:val="22"/>
        </w:rPr>
        <w:t>).</w:t>
      </w:r>
    </w:p>
    <w:p w:rsidR="004E4EDE" w:rsidRDefault="004E4EDE" w:rsidP="005818F8">
      <w:pPr>
        <w:jc w:val="both"/>
        <w:rPr>
          <w:sz w:val="22"/>
          <w:szCs w:val="22"/>
        </w:rPr>
      </w:pPr>
    </w:p>
    <w:p w:rsidR="002976E3" w:rsidRDefault="00D82417" w:rsidP="005818F8">
      <w:pPr>
        <w:jc w:val="both"/>
        <w:rPr>
          <w:sz w:val="22"/>
          <w:szCs w:val="22"/>
        </w:rPr>
      </w:pPr>
      <w:r>
        <w:rPr>
          <w:sz w:val="22"/>
          <w:szCs w:val="22"/>
        </w:rPr>
        <w:t xml:space="preserve">Další prostředky byly vynaloženy na pasportizaci objektů škol (569,5 </w:t>
      </w:r>
      <w:r w:rsidR="005E1108">
        <w:rPr>
          <w:sz w:val="22"/>
          <w:szCs w:val="22"/>
        </w:rPr>
        <w:t>tis. Kč</w:t>
      </w:r>
      <w:r>
        <w:rPr>
          <w:sz w:val="22"/>
          <w:szCs w:val="22"/>
        </w:rPr>
        <w:t xml:space="preserve">), na vyhotovení podkladů k realizaci úsporných energetických </w:t>
      </w:r>
      <w:r w:rsidR="004B129C">
        <w:rPr>
          <w:sz w:val="22"/>
          <w:szCs w:val="22"/>
        </w:rPr>
        <w:t xml:space="preserve">opatření (1.125,3 </w:t>
      </w:r>
      <w:r w:rsidR="005E1108">
        <w:rPr>
          <w:sz w:val="22"/>
          <w:szCs w:val="22"/>
        </w:rPr>
        <w:t>tis. Kč</w:t>
      </w:r>
      <w:r w:rsidR="004B129C">
        <w:rPr>
          <w:sz w:val="22"/>
          <w:szCs w:val="22"/>
        </w:rPr>
        <w:t>), byl proveden audit dodržování pož</w:t>
      </w:r>
      <w:r w:rsidR="004B129C">
        <w:rPr>
          <w:sz w:val="22"/>
          <w:szCs w:val="22"/>
        </w:rPr>
        <w:t>a</w:t>
      </w:r>
      <w:r w:rsidR="004B129C">
        <w:rPr>
          <w:sz w:val="22"/>
          <w:szCs w:val="22"/>
        </w:rPr>
        <w:t>davků pro technické využívání látek s vybranou nebezpečnou vlastností v ZŠ a MŠ</w:t>
      </w:r>
      <w:r w:rsidR="00895C1A">
        <w:rPr>
          <w:sz w:val="22"/>
          <w:szCs w:val="22"/>
        </w:rPr>
        <w:t xml:space="preserve"> (216,8 </w:t>
      </w:r>
      <w:r w:rsidR="005E1108">
        <w:rPr>
          <w:sz w:val="22"/>
          <w:szCs w:val="22"/>
        </w:rPr>
        <w:t>tis. Kč</w:t>
      </w:r>
      <w:r w:rsidR="00895C1A">
        <w:rPr>
          <w:sz w:val="22"/>
          <w:szCs w:val="22"/>
        </w:rPr>
        <w:t xml:space="preserve">) a audit nebezpečných chemických látek ve školských objektech (234,1 </w:t>
      </w:r>
      <w:r w:rsidR="005E1108">
        <w:rPr>
          <w:sz w:val="22"/>
          <w:szCs w:val="22"/>
        </w:rPr>
        <w:t>tis. Kč</w:t>
      </w:r>
      <w:r w:rsidR="00895C1A">
        <w:rPr>
          <w:sz w:val="22"/>
          <w:szCs w:val="22"/>
        </w:rPr>
        <w:t xml:space="preserve">). </w:t>
      </w:r>
    </w:p>
    <w:p w:rsidR="002976E3" w:rsidRDefault="00895C1A" w:rsidP="005818F8">
      <w:pPr>
        <w:jc w:val="both"/>
        <w:rPr>
          <w:sz w:val="22"/>
          <w:szCs w:val="22"/>
        </w:rPr>
      </w:pPr>
      <w:r>
        <w:rPr>
          <w:sz w:val="22"/>
          <w:szCs w:val="22"/>
        </w:rPr>
        <w:t>Ve venkovních areálech škol byl proveden dendrologický průzkum. Byl posouzen stav ochrany oso</w:t>
      </w:r>
      <w:r>
        <w:rPr>
          <w:sz w:val="22"/>
          <w:szCs w:val="22"/>
        </w:rPr>
        <w:t>b</w:t>
      </w:r>
      <w:r>
        <w:rPr>
          <w:sz w:val="22"/>
          <w:szCs w:val="22"/>
        </w:rPr>
        <w:t xml:space="preserve">ních údajů ve školách (1.165,2 </w:t>
      </w:r>
      <w:r w:rsidR="005E1108">
        <w:rPr>
          <w:sz w:val="22"/>
          <w:szCs w:val="22"/>
        </w:rPr>
        <w:t>tis. Kč</w:t>
      </w:r>
      <w:r>
        <w:rPr>
          <w:sz w:val="22"/>
          <w:szCs w:val="22"/>
        </w:rPr>
        <w:t xml:space="preserve">). </w:t>
      </w:r>
    </w:p>
    <w:p w:rsidR="00D82417" w:rsidRDefault="00895C1A" w:rsidP="005818F8">
      <w:pPr>
        <w:jc w:val="both"/>
        <w:rPr>
          <w:sz w:val="22"/>
          <w:szCs w:val="22"/>
        </w:rPr>
      </w:pPr>
      <w:r>
        <w:rPr>
          <w:sz w:val="22"/>
          <w:szCs w:val="22"/>
        </w:rPr>
        <w:t xml:space="preserve">Ze školských akcí lze uvést např. Dětský den na Dětském ostrově (599 </w:t>
      </w:r>
      <w:r w:rsidR="005E1108">
        <w:rPr>
          <w:sz w:val="22"/>
          <w:szCs w:val="22"/>
        </w:rPr>
        <w:t>tis. Kč</w:t>
      </w:r>
      <w:r>
        <w:rPr>
          <w:sz w:val="22"/>
          <w:szCs w:val="22"/>
        </w:rPr>
        <w:t xml:space="preserve">), 2. ročník </w:t>
      </w:r>
      <w:r w:rsidR="005B4387">
        <w:rPr>
          <w:sz w:val="22"/>
          <w:szCs w:val="22"/>
        </w:rPr>
        <w:t xml:space="preserve">pěvecké soutěže Hvězdy Prahy 5 a další. Školám byl též pořízen majetek – výpočetní technika a související služby v hodnotě 548,9 </w:t>
      </w:r>
      <w:r w:rsidR="005E1108">
        <w:rPr>
          <w:sz w:val="22"/>
          <w:szCs w:val="22"/>
        </w:rPr>
        <w:t>tis. Kč</w:t>
      </w:r>
      <w:r w:rsidR="005B4387">
        <w:rPr>
          <w:sz w:val="22"/>
          <w:szCs w:val="22"/>
        </w:rPr>
        <w:t>. Sportovní činnost v neziskových orga</w:t>
      </w:r>
      <w:r w:rsidR="00781412">
        <w:rPr>
          <w:sz w:val="22"/>
          <w:szCs w:val="22"/>
        </w:rPr>
        <w:t xml:space="preserve">nizacích </w:t>
      </w:r>
      <w:r w:rsidR="003C1979">
        <w:rPr>
          <w:sz w:val="22"/>
          <w:szCs w:val="22"/>
        </w:rPr>
        <w:t xml:space="preserve">byla </w:t>
      </w:r>
      <w:r w:rsidR="00781412">
        <w:rPr>
          <w:sz w:val="22"/>
          <w:szCs w:val="22"/>
        </w:rPr>
        <w:t>podpořena částkou 3.453</w:t>
      </w:r>
      <w:r w:rsidR="005B4387">
        <w:rPr>
          <w:sz w:val="22"/>
          <w:szCs w:val="22"/>
        </w:rPr>
        <w:t xml:space="preserve"> </w:t>
      </w:r>
      <w:r w:rsidR="005E1108">
        <w:rPr>
          <w:sz w:val="22"/>
          <w:szCs w:val="22"/>
        </w:rPr>
        <w:t>tis. Kč</w:t>
      </w:r>
      <w:r w:rsidR="005B4387">
        <w:rPr>
          <w:sz w:val="22"/>
          <w:szCs w:val="22"/>
        </w:rPr>
        <w:t xml:space="preserve">, na mládežnický sport bylo poskytnuto 2.855,6 </w:t>
      </w:r>
      <w:r w:rsidR="005E1108">
        <w:rPr>
          <w:sz w:val="22"/>
          <w:szCs w:val="22"/>
        </w:rPr>
        <w:t>tis. Kč</w:t>
      </w:r>
      <w:r w:rsidR="005B4387">
        <w:rPr>
          <w:sz w:val="22"/>
          <w:szCs w:val="22"/>
        </w:rPr>
        <w:t>.</w:t>
      </w:r>
    </w:p>
    <w:p w:rsidR="0072345F" w:rsidRDefault="0072345F" w:rsidP="005818F8">
      <w:pPr>
        <w:jc w:val="both"/>
        <w:rPr>
          <w:sz w:val="22"/>
          <w:szCs w:val="22"/>
        </w:rPr>
      </w:pPr>
    </w:p>
    <w:p w:rsidR="00D94300" w:rsidRDefault="002976E3" w:rsidP="005818F8">
      <w:pPr>
        <w:jc w:val="both"/>
        <w:rPr>
          <w:sz w:val="22"/>
          <w:szCs w:val="22"/>
        </w:rPr>
      </w:pPr>
      <w:r w:rsidRPr="004A386B">
        <w:rPr>
          <w:i/>
          <w:sz w:val="22"/>
          <w:szCs w:val="22"/>
        </w:rPr>
        <w:t>G</w:t>
      </w:r>
      <w:r w:rsidR="00D94300" w:rsidRPr="004A386B">
        <w:rPr>
          <w:i/>
          <w:sz w:val="22"/>
          <w:szCs w:val="22"/>
        </w:rPr>
        <w:t>rantový program</w:t>
      </w:r>
      <w:r w:rsidR="00D94300">
        <w:rPr>
          <w:sz w:val="22"/>
          <w:szCs w:val="22"/>
        </w:rPr>
        <w:t xml:space="preserve"> „Pro podporu vzdělávání, volnočasových aktivit a sportu na rok 2013“ byl realiz</w:t>
      </w:r>
      <w:r w:rsidR="00D94300">
        <w:rPr>
          <w:sz w:val="22"/>
          <w:szCs w:val="22"/>
        </w:rPr>
        <w:t>o</w:t>
      </w:r>
      <w:r w:rsidR="00D94300">
        <w:rPr>
          <w:sz w:val="22"/>
          <w:szCs w:val="22"/>
        </w:rPr>
        <w:t xml:space="preserve">ván v částce 582,5 </w:t>
      </w:r>
      <w:r w:rsidR="005E1108">
        <w:rPr>
          <w:sz w:val="22"/>
          <w:szCs w:val="22"/>
        </w:rPr>
        <w:t>tis. Kč</w:t>
      </w:r>
      <w:r w:rsidR="00D94300">
        <w:rPr>
          <w:sz w:val="22"/>
          <w:szCs w:val="22"/>
        </w:rPr>
        <w:t xml:space="preserve"> a bylo podpořeno 20 organizací a 11 škol.</w:t>
      </w:r>
    </w:p>
    <w:p w:rsidR="00D52798" w:rsidRDefault="00D52798" w:rsidP="00D52798">
      <w:pPr>
        <w:jc w:val="both"/>
        <w:rPr>
          <w:sz w:val="22"/>
          <w:szCs w:val="22"/>
        </w:rPr>
      </w:pPr>
    </w:p>
    <w:p w:rsidR="00A35E7A" w:rsidRPr="006121FF" w:rsidRDefault="00A35E7A" w:rsidP="00C93061">
      <w:pPr>
        <w:tabs>
          <w:tab w:val="left" w:pos="5040"/>
        </w:tabs>
        <w:rPr>
          <w:i/>
          <w:sz w:val="22"/>
          <w:szCs w:val="22"/>
        </w:rPr>
      </w:pPr>
      <w:r w:rsidRPr="006121FF">
        <w:rPr>
          <w:i/>
          <w:sz w:val="22"/>
          <w:szCs w:val="22"/>
        </w:rPr>
        <w:t>Podkapitola 0441 Odbo</w:t>
      </w:r>
      <w:r w:rsidR="00D01F0B">
        <w:rPr>
          <w:i/>
          <w:sz w:val="22"/>
          <w:szCs w:val="22"/>
        </w:rPr>
        <w:t>r správy veřejného prostranství</w:t>
      </w:r>
    </w:p>
    <w:p w:rsidR="00293E33" w:rsidRDefault="00EA7273" w:rsidP="00A35E7A">
      <w:pPr>
        <w:jc w:val="both"/>
        <w:rPr>
          <w:sz w:val="22"/>
          <w:szCs w:val="22"/>
        </w:rPr>
      </w:pPr>
      <w:r>
        <w:rPr>
          <w:sz w:val="22"/>
          <w:szCs w:val="22"/>
        </w:rPr>
        <w:t xml:space="preserve">V podkapitole byly realizovány investiční výdaje </w:t>
      </w:r>
      <w:r w:rsidR="00A35E7A" w:rsidRPr="008A2F83">
        <w:rPr>
          <w:sz w:val="22"/>
          <w:szCs w:val="22"/>
        </w:rPr>
        <w:t>na</w:t>
      </w:r>
      <w:r w:rsidR="00AA76C9">
        <w:rPr>
          <w:sz w:val="22"/>
          <w:szCs w:val="22"/>
        </w:rPr>
        <w:t xml:space="preserve"> </w:t>
      </w:r>
      <w:r w:rsidR="00A35E7A" w:rsidRPr="008A2F83">
        <w:rPr>
          <w:sz w:val="22"/>
          <w:szCs w:val="22"/>
        </w:rPr>
        <w:t>rekonstrukci 8 zahrad mateřských a základních škol (MŠ Naskov</w:t>
      </w:r>
      <w:r w:rsidR="00EE085C">
        <w:rPr>
          <w:sz w:val="22"/>
          <w:szCs w:val="22"/>
        </w:rPr>
        <w:t>é</w:t>
      </w:r>
      <w:r w:rsidR="00A35E7A" w:rsidRPr="008A2F83">
        <w:rPr>
          <w:sz w:val="22"/>
          <w:szCs w:val="22"/>
        </w:rPr>
        <w:t>, MŠ Tréglova, MŠ nám.14. října,</w:t>
      </w:r>
      <w:r w:rsidR="00D01F0B">
        <w:rPr>
          <w:sz w:val="22"/>
          <w:szCs w:val="22"/>
        </w:rPr>
        <w:t xml:space="preserve"> </w:t>
      </w:r>
      <w:r w:rsidR="00A35E7A" w:rsidRPr="008A2F83">
        <w:rPr>
          <w:sz w:val="22"/>
          <w:szCs w:val="22"/>
        </w:rPr>
        <w:t>ZŠ a MŠ U Santošky, MŠ Lohninského,</w:t>
      </w:r>
      <w:r w:rsidR="00D01F0B">
        <w:rPr>
          <w:sz w:val="22"/>
          <w:szCs w:val="22"/>
        </w:rPr>
        <w:t xml:space="preserve"> </w:t>
      </w:r>
      <w:r w:rsidR="00A35E7A" w:rsidRPr="008A2F83">
        <w:rPr>
          <w:sz w:val="22"/>
          <w:szCs w:val="22"/>
        </w:rPr>
        <w:t>MŠ N</w:t>
      </w:r>
      <w:r w:rsidR="00A35E7A" w:rsidRPr="008A2F83">
        <w:rPr>
          <w:sz w:val="22"/>
          <w:szCs w:val="22"/>
        </w:rPr>
        <w:t>e</w:t>
      </w:r>
      <w:r w:rsidR="00A35E7A" w:rsidRPr="008A2F83">
        <w:rPr>
          <w:sz w:val="22"/>
          <w:szCs w:val="22"/>
        </w:rPr>
        <w:t>pomucká, MŠ Nad Palatou a FZŠ a MŠ Barrandov II), která proběhla dle norem ČSN EN</w:t>
      </w:r>
      <w:r w:rsidR="00BB102D">
        <w:rPr>
          <w:sz w:val="22"/>
          <w:szCs w:val="22"/>
        </w:rPr>
        <w:t xml:space="preserve"> </w:t>
      </w:r>
      <w:r w:rsidR="00A35E7A" w:rsidRPr="008A2F83">
        <w:rPr>
          <w:sz w:val="22"/>
          <w:szCs w:val="22"/>
        </w:rPr>
        <w:t xml:space="preserve">1176 a 1178 v celkové výši 6.978,9 </w:t>
      </w:r>
      <w:r w:rsidR="005E1108">
        <w:rPr>
          <w:sz w:val="22"/>
          <w:szCs w:val="22"/>
        </w:rPr>
        <w:t>tis. Kč</w:t>
      </w:r>
      <w:r w:rsidR="00BB102D">
        <w:rPr>
          <w:sz w:val="22"/>
          <w:szCs w:val="22"/>
        </w:rPr>
        <w:t>.</w:t>
      </w:r>
    </w:p>
    <w:p w:rsidR="00D01F0B" w:rsidRDefault="00D01F0B" w:rsidP="00A35E7A">
      <w:pPr>
        <w:jc w:val="both"/>
        <w:rPr>
          <w:b/>
          <w:sz w:val="22"/>
          <w:szCs w:val="22"/>
        </w:rPr>
      </w:pPr>
    </w:p>
    <w:p w:rsidR="005818F8" w:rsidRDefault="00FB2543" w:rsidP="005818F8">
      <w:pPr>
        <w:jc w:val="both"/>
        <w:rPr>
          <w:i/>
          <w:sz w:val="22"/>
          <w:szCs w:val="22"/>
        </w:rPr>
      </w:pPr>
      <w:r w:rsidRPr="006121FF">
        <w:rPr>
          <w:i/>
          <w:sz w:val="22"/>
          <w:szCs w:val="22"/>
        </w:rPr>
        <w:t xml:space="preserve">Podkapitola 0451 </w:t>
      </w:r>
      <w:r w:rsidR="009947C8">
        <w:rPr>
          <w:i/>
          <w:sz w:val="22"/>
          <w:szCs w:val="22"/>
        </w:rPr>
        <w:t>Odbor investic</w:t>
      </w:r>
    </w:p>
    <w:p w:rsidR="006623DA" w:rsidRPr="006623DA" w:rsidRDefault="006623DA" w:rsidP="005818F8">
      <w:pPr>
        <w:jc w:val="both"/>
        <w:rPr>
          <w:sz w:val="22"/>
          <w:szCs w:val="22"/>
        </w:rPr>
      </w:pPr>
      <w:r>
        <w:rPr>
          <w:sz w:val="22"/>
          <w:szCs w:val="22"/>
        </w:rPr>
        <w:t xml:space="preserve">Odborem investic byly realizovány akce v celkové hodnotě 42.390,6 </w:t>
      </w:r>
      <w:r w:rsidR="005E1108">
        <w:rPr>
          <w:sz w:val="22"/>
          <w:szCs w:val="22"/>
        </w:rPr>
        <w:t>tis. Kč</w:t>
      </w:r>
      <w:r>
        <w:rPr>
          <w:sz w:val="22"/>
          <w:szCs w:val="22"/>
        </w:rPr>
        <w:t xml:space="preserve"> takto:</w:t>
      </w:r>
    </w:p>
    <w:p w:rsidR="00B12D39" w:rsidRDefault="005818F8" w:rsidP="00B12D39">
      <w:pPr>
        <w:numPr>
          <w:ilvl w:val="0"/>
          <w:numId w:val="21"/>
        </w:numPr>
        <w:jc w:val="both"/>
        <w:rPr>
          <w:color w:val="000000"/>
          <w:sz w:val="22"/>
          <w:szCs w:val="22"/>
        </w:rPr>
      </w:pPr>
      <w:r>
        <w:rPr>
          <w:color w:val="000000"/>
          <w:sz w:val="22"/>
          <w:szCs w:val="22"/>
        </w:rPr>
        <w:t>MŠ Podbělohorská, zateplení fasády, terasy, výměna oken v herně (3</w:t>
      </w:r>
      <w:r w:rsidR="00DF54A6">
        <w:rPr>
          <w:color w:val="000000"/>
          <w:sz w:val="22"/>
          <w:szCs w:val="22"/>
        </w:rPr>
        <w:t>.</w:t>
      </w:r>
      <w:r>
        <w:rPr>
          <w:color w:val="000000"/>
          <w:sz w:val="22"/>
          <w:szCs w:val="22"/>
        </w:rPr>
        <w:t xml:space="preserve">579,1 </w:t>
      </w:r>
      <w:r w:rsidR="005E1108">
        <w:rPr>
          <w:color w:val="000000"/>
          <w:sz w:val="22"/>
          <w:szCs w:val="22"/>
        </w:rPr>
        <w:t>tis. Kč</w:t>
      </w:r>
      <w:r>
        <w:rPr>
          <w:color w:val="000000"/>
          <w:sz w:val="22"/>
          <w:szCs w:val="22"/>
        </w:rPr>
        <w:t>), stavb</w:t>
      </w:r>
      <w:r w:rsidR="00B12D39">
        <w:rPr>
          <w:color w:val="000000"/>
          <w:sz w:val="22"/>
          <w:szCs w:val="22"/>
        </w:rPr>
        <w:t>a</w:t>
      </w:r>
      <w:r>
        <w:rPr>
          <w:color w:val="000000"/>
          <w:sz w:val="22"/>
          <w:szCs w:val="22"/>
        </w:rPr>
        <w:t xml:space="preserve"> b</w:t>
      </w:r>
      <w:r>
        <w:rPr>
          <w:color w:val="000000"/>
          <w:sz w:val="22"/>
          <w:szCs w:val="22"/>
        </w:rPr>
        <w:t>y</w:t>
      </w:r>
      <w:r>
        <w:rPr>
          <w:color w:val="000000"/>
          <w:sz w:val="22"/>
          <w:szCs w:val="22"/>
        </w:rPr>
        <w:t>la</w:t>
      </w:r>
      <w:r w:rsidR="009947C8">
        <w:rPr>
          <w:color w:val="000000"/>
          <w:sz w:val="22"/>
          <w:szCs w:val="22"/>
        </w:rPr>
        <w:t xml:space="preserve"> dokončena</w:t>
      </w:r>
      <w:r>
        <w:rPr>
          <w:color w:val="000000"/>
          <w:sz w:val="22"/>
          <w:szCs w:val="22"/>
        </w:rPr>
        <w:t>.</w:t>
      </w:r>
    </w:p>
    <w:p w:rsidR="00B12D39" w:rsidRDefault="00B12D39" w:rsidP="00B12D39">
      <w:pPr>
        <w:numPr>
          <w:ilvl w:val="0"/>
          <w:numId w:val="21"/>
        </w:numPr>
        <w:jc w:val="both"/>
        <w:rPr>
          <w:color w:val="000000"/>
          <w:sz w:val="22"/>
          <w:szCs w:val="22"/>
        </w:rPr>
      </w:pPr>
      <w:r>
        <w:rPr>
          <w:color w:val="000000"/>
          <w:sz w:val="22"/>
          <w:szCs w:val="22"/>
        </w:rPr>
        <w:t xml:space="preserve"> </w:t>
      </w:r>
      <w:r w:rsidR="005818F8">
        <w:rPr>
          <w:color w:val="000000"/>
          <w:sz w:val="22"/>
          <w:szCs w:val="22"/>
        </w:rPr>
        <w:t>FZŠ Barrandov, V Remízku 919/4 – výstavba sportovní haly na squash (5</w:t>
      </w:r>
      <w:r w:rsidR="00DF54A6">
        <w:rPr>
          <w:color w:val="000000"/>
          <w:sz w:val="22"/>
          <w:szCs w:val="22"/>
        </w:rPr>
        <w:t>.</w:t>
      </w:r>
      <w:r w:rsidR="005818F8">
        <w:rPr>
          <w:color w:val="000000"/>
          <w:sz w:val="22"/>
          <w:szCs w:val="22"/>
        </w:rPr>
        <w:t xml:space="preserve">329,5 </w:t>
      </w:r>
      <w:r w:rsidR="005E1108">
        <w:rPr>
          <w:color w:val="000000"/>
          <w:sz w:val="22"/>
          <w:szCs w:val="22"/>
        </w:rPr>
        <w:t>tis. Kč</w:t>
      </w:r>
      <w:r w:rsidR="005818F8">
        <w:rPr>
          <w:color w:val="000000"/>
          <w:sz w:val="22"/>
          <w:szCs w:val="22"/>
        </w:rPr>
        <w:t>), stavb</w:t>
      </w:r>
      <w:r w:rsidR="004E4367">
        <w:rPr>
          <w:color w:val="000000"/>
          <w:sz w:val="22"/>
          <w:szCs w:val="22"/>
        </w:rPr>
        <w:t xml:space="preserve">a byla dokončena a </w:t>
      </w:r>
      <w:r w:rsidR="00871745">
        <w:rPr>
          <w:color w:val="000000"/>
          <w:sz w:val="22"/>
          <w:szCs w:val="22"/>
        </w:rPr>
        <w:t xml:space="preserve">je </w:t>
      </w:r>
      <w:r w:rsidR="004E4367">
        <w:rPr>
          <w:color w:val="000000"/>
          <w:sz w:val="22"/>
          <w:szCs w:val="22"/>
        </w:rPr>
        <w:t>zkolaudovaná.</w:t>
      </w:r>
    </w:p>
    <w:p w:rsidR="00B12D39" w:rsidRDefault="00F33BB6" w:rsidP="00B12D39">
      <w:pPr>
        <w:numPr>
          <w:ilvl w:val="0"/>
          <w:numId w:val="21"/>
        </w:numPr>
        <w:jc w:val="both"/>
        <w:rPr>
          <w:color w:val="000000"/>
          <w:sz w:val="22"/>
          <w:szCs w:val="22"/>
        </w:rPr>
      </w:pPr>
      <w:r>
        <w:rPr>
          <w:color w:val="000000"/>
          <w:sz w:val="22"/>
          <w:szCs w:val="22"/>
        </w:rPr>
        <w:t>FZŠ Barrandov</w:t>
      </w:r>
      <w:r w:rsidR="005818F8" w:rsidRPr="00B12D39">
        <w:rPr>
          <w:color w:val="000000"/>
          <w:sz w:val="22"/>
          <w:szCs w:val="22"/>
        </w:rPr>
        <w:t>, V Remízku 919/4 – stavební úpravy spojené s vřazováním třídy MŠ do obje</w:t>
      </w:r>
      <w:r w:rsidR="005818F8" w:rsidRPr="00B12D39">
        <w:rPr>
          <w:color w:val="000000"/>
          <w:sz w:val="22"/>
          <w:szCs w:val="22"/>
        </w:rPr>
        <w:t>k</w:t>
      </w:r>
      <w:r w:rsidR="005818F8" w:rsidRPr="00B12D39">
        <w:rPr>
          <w:color w:val="000000"/>
          <w:sz w:val="22"/>
          <w:szCs w:val="22"/>
        </w:rPr>
        <w:t>tu ZŠ Záhorského 887 (4</w:t>
      </w:r>
      <w:r w:rsidR="00DF54A6">
        <w:rPr>
          <w:color w:val="000000"/>
          <w:sz w:val="22"/>
          <w:szCs w:val="22"/>
        </w:rPr>
        <w:t>.</w:t>
      </w:r>
      <w:r w:rsidR="005818F8" w:rsidRPr="00B12D39">
        <w:rPr>
          <w:color w:val="000000"/>
          <w:sz w:val="22"/>
          <w:szCs w:val="22"/>
        </w:rPr>
        <w:t xml:space="preserve">567,9 </w:t>
      </w:r>
      <w:r w:rsidR="005E1108">
        <w:rPr>
          <w:color w:val="000000"/>
          <w:sz w:val="22"/>
          <w:szCs w:val="22"/>
        </w:rPr>
        <w:t>tis. Kč</w:t>
      </w:r>
      <w:r w:rsidR="005818F8" w:rsidRPr="00B12D39">
        <w:rPr>
          <w:color w:val="000000"/>
          <w:sz w:val="22"/>
          <w:szCs w:val="22"/>
        </w:rPr>
        <w:t>), realizace akce proběhla v době letních prázdnin</w:t>
      </w:r>
      <w:r w:rsidR="00760EC7">
        <w:rPr>
          <w:color w:val="000000"/>
          <w:sz w:val="22"/>
          <w:szCs w:val="22"/>
        </w:rPr>
        <w:t>.</w:t>
      </w:r>
      <w:r w:rsidR="00AA76C9">
        <w:rPr>
          <w:color w:val="000000"/>
          <w:sz w:val="22"/>
          <w:szCs w:val="22"/>
        </w:rPr>
        <w:t xml:space="preserve"> </w:t>
      </w:r>
    </w:p>
    <w:p w:rsidR="00B12D39" w:rsidRDefault="005818F8" w:rsidP="005818F8">
      <w:pPr>
        <w:numPr>
          <w:ilvl w:val="0"/>
          <w:numId w:val="21"/>
        </w:numPr>
        <w:jc w:val="both"/>
        <w:rPr>
          <w:color w:val="000000"/>
          <w:sz w:val="22"/>
          <w:szCs w:val="22"/>
        </w:rPr>
      </w:pPr>
      <w:r w:rsidRPr="00B12D39">
        <w:rPr>
          <w:sz w:val="22"/>
          <w:szCs w:val="22"/>
        </w:rPr>
        <w:t>V roce 2013 se předpokládalo uvolnění objektu bývalé ZŠ Pod Žvahovem 463, Praha 5 – Hl</w:t>
      </w:r>
      <w:r w:rsidRPr="00B12D39">
        <w:rPr>
          <w:sz w:val="22"/>
          <w:szCs w:val="22"/>
        </w:rPr>
        <w:t>u</w:t>
      </w:r>
      <w:r w:rsidRPr="00B12D39">
        <w:rPr>
          <w:sz w:val="22"/>
          <w:szCs w:val="22"/>
        </w:rPr>
        <w:t>bočepy a přestěhování waldorfské školy</w:t>
      </w:r>
      <w:r w:rsidR="0043212B">
        <w:rPr>
          <w:sz w:val="22"/>
          <w:szCs w:val="22"/>
        </w:rPr>
        <w:t xml:space="preserve"> </w:t>
      </w:r>
      <w:r w:rsidRPr="00B12D39">
        <w:rPr>
          <w:sz w:val="22"/>
          <w:szCs w:val="22"/>
        </w:rPr>
        <w:t xml:space="preserve">(UR 9.500 </w:t>
      </w:r>
      <w:r w:rsidR="005E1108">
        <w:rPr>
          <w:sz w:val="22"/>
          <w:szCs w:val="22"/>
        </w:rPr>
        <w:t>tis. Kč</w:t>
      </w:r>
      <w:r w:rsidRPr="00B12D39">
        <w:rPr>
          <w:sz w:val="22"/>
          <w:szCs w:val="22"/>
        </w:rPr>
        <w:t>). Objekt Butovická 9/228 měl být celkově rekonstruován na MŠ s předpokladem umístění 2 tříd MŠ. Vzhledem ke změně situ</w:t>
      </w:r>
      <w:r w:rsidRPr="00B12D39">
        <w:rPr>
          <w:sz w:val="22"/>
          <w:szCs w:val="22"/>
        </w:rPr>
        <w:t>a</w:t>
      </w:r>
      <w:r w:rsidRPr="00B12D39">
        <w:rPr>
          <w:sz w:val="22"/>
          <w:szCs w:val="22"/>
        </w:rPr>
        <w:t xml:space="preserve">ce v uvolnění objektu, byly finanční prostředky využity v rámci kapitoly školství. </w:t>
      </w:r>
    </w:p>
    <w:p w:rsidR="00B12D39" w:rsidRPr="00B12D39" w:rsidRDefault="005818F8" w:rsidP="005818F8">
      <w:pPr>
        <w:numPr>
          <w:ilvl w:val="0"/>
          <w:numId w:val="21"/>
        </w:numPr>
        <w:jc w:val="both"/>
        <w:rPr>
          <w:color w:val="000000"/>
          <w:sz w:val="22"/>
          <w:szCs w:val="22"/>
        </w:rPr>
      </w:pPr>
      <w:r w:rsidRPr="00B12D39">
        <w:rPr>
          <w:sz w:val="22"/>
          <w:szCs w:val="22"/>
        </w:rPr>
        <w:lastRenderedPageBreak/>
        <w:t>Rekonstrukce objektu bývalé ZŠ Pod Žvahovem 463, Praha 5</w:t>
      </w:r>
      <w:r w:rsidR="00AA76C9">
        <w:rPr>
          <w:sz w:val="22"/>
          <w:szCs w:val="22"/>
        </w:rPr>
        <w:t xml:space="preserve"> </w:t>
      </w:r>
      <w:r w:rsidRPr="00B12D39">
        <w:rPr>
          <w:sz w:val="22"/>
          <w:szCs w:val="22"/>
        </w:rPr>
        <w:t xml:space="preserve">(UR 10.000 </w:t>
      </w:r>
      <w:r w:rsidR="005E1108">
        <w:rPr>
          <w:sz w:val="22"/>
          <w:szCs w:val="22"/>
        </w:rPr>
        <w:t>tis. Kč</w:t>
      </w:r>
      <w:r w:rsidRPr="00B12D39">
        <w:rPr>
          <w:sz w:val="22"/>
          <w:szCs w:val="22"/>
        </w:rPr>
        <w:t>) – vzhledem k tomu, že nedošlo k uvolnění objektu pro přestěhování waldorfské školy, byly náklady využ</w:t>
      </w:r>
      <w:r w:rsidRPr="00B12D39">
        <w:rPr>
          <w:sz w:val="22"/>
          <w:szCs w:val="22"/>
        </w:rPr>
        <w:t>i</w:t>
      </w:r>
      <w:r w:rsidRPr="00B12D39">
        <w:rPr>
          <w:sz w:val="22"/>
          <w:szCs w:val="22"/>
        </w:rPr>
        <w:t xml:space="preserve">ty v rámci kapitoly školství. </w:t>
      </w:r>
    </w:p>
    <w:p w:rsidR="00B12D39" w:rsidRDefault="005818F8" w:rsidP="005818F8">
      <w:pPr>
        <w:numPr>
          <w:ilvl w:val="0"/>
          <w:numId w:val="21"/>
        </w:numPr>
        <w:jc w:val="both"/>
        <w:rPr>
          <w:color w:val="000000"/>
          <w:sz w:val="22"/>
          <w:szCs w:val="22"/>
        </w:rPr>
      </w:pPr>
      <w:r w:rsidRPr="00B12D39">
        <w:rPr>
          <w:sz w:val="22"/>
          <w:szCs w:val="22"/>
        </w:rPr>
        <w:t xml:space="preserve">Revitalizace objektu Pod Žvahovem 463, Praha 5 </w:t>
      </w:r>
      <w:r w:rsidR="00FB2543" w:rsidRPr="00B12D39">
        <w:rPr>
          <w:sz w:val="22"/>
          <w:szCs w:val="22"/>
        </w:rPr>
        <w:t>se předpokládá k zahájení v</w:t>
      </w:r>
      <w:r w:rsidRPr="00B12D39">
        <w:rPr>
          <w:sz w:val="22"/>
          <w:szCs w:val="22"/>
        </w:rPr>
        <w:t xml:space="preserve"> roce 2014, uhrazen byl jen projekt na stavební řízení.</w:t>
      </w:r>
    </w:p>
    <w:p w:rsidR="00D11F31" w:rsidRDefault="005818F8" w:rsidP="005818F8">
      <w:pPr>
        <w:numPr>
          <w:ilvl w:val="0"/>
          <w:numId w:val="21"/>
        </w:numPr>
        <w:jc w:val="both"/>
        <w:rPr>
          <w:color w:val="000000"/>
          <w:sz w:val="22"/>
          <w:szCs w:val="22"/>
        </w:rPr>
      </w:pPr>
      <w:r w:rsidRPr="00B12D39">
        <w:rPr>
          <w:sz w:val="22"/>
          <w:szCs w:val="22"/>
        </w:rPr>
        <w:t>Nebyla vybudována nová MŠ na pozemku parc.</w:t>
      </w:r>
      <w:r w:rsidR="00292CDB">
        <w:rPr>
          <w:sz w:val="22"/>
          <w:szCs w:val="22"/>
        </w:rPr>
        <w:t xml:space="preserve"> </w:t>
      </w:r>
      <w:r w:rsidRPr="00B12D39">
        <w:rPr>
          <w:sz w:val="22"/>
          <w:szCs w:val="22"/>
        </w:rPr>
        <w:t>č. KN 5/2, k.</w:t>
      </w:r>
      <w:r w:rsidR="00292CDB">
        <w:rPr>
          <w:sz w:val="22"/>
          <w:szCs w:val="22"/>
        </w:rPr>
        <w:t xml:space="preserve"> </w:t>
      </w:r>
      <w:r w:rsidRPr="00B12D39">
        <w:rPr>
          <w:sz w:val="22"/>
          <w:szCs w:val="22"/>
        </w:rPr>
        <w:t>ú. Košíře – pro nedokončené majetkoprávní řešení pozemků byly finanční prostředky vráceny do rezervy MČ. (UR 4.000 </w:t>
      </w:r>
      <w:r w:rsidR="005E1108">
        <w:rPr>
          <w:sz w:val="22"/>
          <w:szCs w:val="22"/>
        </w:rPr>
        <w:t>tis. Kč</w:t>
      </w:r>
      <w:r w:rsidRPr="00B12D39">
        <w:rPr>
          <w:sz w:val="22"/>
          <w:szCs w:val="22"/>
        </w:rPr>
        <w:t xml:space="preserve">). </w:t>
      </w:r>
    </w:p>
    <w:p w:rsidR="00D62D16" w:rsidRPr="00D11F31" w:rsidRDefault="00D62D16" w:rsidP="00D62D16">
      <w:pPr>
        <w:jc w:val="both"/>
        <w:rPr>
          <w:color w:val="000000"/>
          <w:sz w:val="22"/>
          <w:szCs w:val="22"/>
        </w:rPr>
      </w:pPr>
    </w:p>
    <w:p w:rsidR="00AC546B" w:rsidRPr="002820F0" w:rsidRDefault="004A0F1C" w:rsidP="003E450D">
      <w:pPr>
        <w:pStyle w:val="Nadpis5"/>
      </w:pPr>
      <w:bookmarkStart w:id="23" w:name="_Toc385875208"/>
      <w:r>
        <w:t>Kapitola</w:t>
      </w:r>
      <w:r w:rsidR="00F07880" w:rsidRPr="002820F0">
        <w:t xml:space="preserve"> 05</w:t>
      </w:r>
      <w:r w:rsidR="00F07880">
        <w:tab/>
      </w:r>
      <w:r w:rsidR="00AC546B" w:rsidRPr="002820F0">
        <w:t>S</w:t>
      </w:r>
      <w:r w:rsidR="00F07880">
        <w:t>ociální věci a zdravotnictví</w:t>
      </w:r>
      <w:bookmarkEnd w:id="23"/>
    </w:p>
    <w:p w:rsidR="002E522D" w:rsidRDefault="002E522D" w:rsidP="00523479"/>
    <w:p w:rsidR="002E522D" w:rsidRPr="003E450D" w:rsidRDefault="002E522D" w:rsidP="009B0B1A">
      <w:pPr>
        <w:jc w:val="both"/>
        <w:rPr>
          <w:sz w:val="22"/>
          <w:szCs w:val="22"/>
        </w:rPr>
      </w:pPr>
      <w:r w:rsidRPr="003E450D">
        <w:rPr>
          <w:sz w:val="22"/>
          <w:szCs w:val="22"/>
        </w:rPr>
        <w:t xml:space="preserve">Schválený rozpočet </w:t>
      </w:r>
      <w:r w:rsidR="00993A44" w:rsidRPr="003E450D">
        <w:rPr>
          <w:sz w:val="22"/>
          <w:szCs w:val="22"/>
        </w:rPr>
        <w:t>kapitoly</w:t>
      </w:r>
      <w:r w:rsidRPr="003E450D">
        <w:rPr>
          <w:sz w:val="22"/>
          <w:szCs w:val="22"/>
        </w:rPr>
        <w:t xml:space="preserve"> ve výši 35.988 </w:t>
      </w:r>
      <w:r w:rsidR="005E1108">
        <w:rPr>
          <w:sz w:val="22"/>
          <w:szCs w:val="22"/>
        </w:rPr>
        <w:t>tis. Kč</w:t>
      </w:r>
      <w:r w:rsidRPr="003E450D">
        <w:rPr>
          <w:sz w:val="22"/>
          <w:szCs w:val="22"/>
        </w:rPr>
        <w:t xml:space="preserve"> byl v průběhu roku upraven na 32.151,4 </w:t>
      </w:r>
      <w:r w:rsidR="005E1108">
        <w:rPr>
          <w:sz w:val="22"/>
          <w:szCs w:val="22"/>
        </w:rPr>
        <w:t>tis. Kč</w:t>
      </w:r>
      <w:r w:rsidRPr="003E450D">
        <w:rPr>
          <w:sz w:val="22"/>
          <w:szCs w:val="22"/>
        </w:rPr>
        <w:t xml:space="preserve"> a čerpán ve výši 30.049,4 </w:t>
      </w:r>
      <w:r w:rsidR="005E1108">
        <w:rPr>
          <w:sz w:val="22"/>
          <w:szCs w:val="22"/>
        </w:rPr>
        <w:t>tis. Kč</w:t>
      </w:r>
      <w:r w:rsidRPr="003E450D">
        <w:rPr>
          <w:sz w:val="22"/>
          <w:szCs w:val="22"/>
        </w:rPr>
        <w:t xml:space="preserve">. </w:t>
      </w:r>
      <w:r w:rsidR="00BB102D">
        <w:rPr>
          <w:sz w:val="22"/>
          <w:szCs w:val="22"/>
        </w:rPr>
        <w:t>Kapitola se podílí na celkovém objemu výdajů 4,4 %.</w:t>
      </w:r>
    </w:p>
    <w:p w:rsidR="00D049A6" w:rsidRDefault="00D049A6" w:rsidP="00E92689"/>
    <w:p w:rsidR="002E2525" w:rsidRPr="006121FF" w:rsidRDefault="002E2525" w:rsidP="002E2525">
      <w:pPr>
        <w:rPr>
          <w:i/>
          <w:sz w:val="22"/>
          <w:szCs w:val="22"/>
        </w:rPr>
      </w:pPr>
      <w:r w:rsidRPr="006121FF">
        <w:rPr>
          <w:i/>
          <w:sz w:val="22"/>
          <w:szCs w:val="22"/>
        </w:rPr>
        <w:t xml:space="preserve">Podkapitola 0526 Odbor kancelář tajemníka </w:t>
      </w:r>
    </w:p>
    <w:p w:rsidR="002E2525" w:rsidRPr="00337694" w:rsidRDefault="002E2525" w:rsidP="00871745">
      <w:pPr>
        <w:jc w:val="both"/>
        <w:rPr>
          <w:sz w:val="22"/>
          <w:szCs w:val="22"/>
        </w:rPr>
      </w:pPr>
      <w:r>
        <w:rPr>
          <w:sz w:val="22"/>
          <w:szCs w:val="22"/>
        </w:rPr>
        <w:t>V</w:t>
      </w:r>
      <w:r w:rsidRPr="00337694">
        <w:rPr>
          <w:sz w:val="22"/>
          <w:szCs w:val="22"/>
        </w:rPr>
        <w:t xml:space="preserve"> průběhu roku </w:t>
      </w:r>
      <w:r>
        <w:rPr>
          <w:sz w:val="22"/>
          <w:szCs w:val="22"/>
        </w:rPr>
        <w:t xml:space="preserve">byla vytvořena nová podkapitola a </w:t>
      </w:r>
      <w:r w:rsidR="00993A44">
        <w:rPr>
          <w:sz w:val="22"/>
          <w:szCs w:val="22"/>
        </w:rPr>
        <w:t xml:space="preserve">do ní byly převedeny </w:t>
      </w:r>
      <w:r w:rsidRPr="00337694">
        <w:rPr>
          <w:sz w:val="22"/>
          <w:szCs w:val="22"/>
        </w:rPr>
        <w:t>finanční prostředky z</w:t>
      </w:r>
      <w:r>
        <w:rPr>
          <w:sz w:val="22"/>
          <w:szCs w:val="22"/>
        </w:rPr>
        <w:t xml:space="preserve"> přijaté </w:t>
      </w:r>
      <w:r w:rsidRPr="00337694">
        <w:rPr>
          <w:sz w:val="22"/>
          <w:szCs w:val="22"/>
        </w:rPr>
        <w:t>neinvestiční účelové dotace,</w:t>
      </w:r>
      <w:r>
        <w:rPr>
          <w:sz w:val="22"/>
          <w:szCs w:val="22"/>
        </w:rPr>
        <w:t xml:space="preserve"> poskytnuté ze státního rozpočtu</w:t>
      </w:r>
      <w:r w:rsidR="00AA76C9">
        <w:rPr>
          <w:sz w:val="22"/>
          <w:szCs w:val="22"/>
        </w:rPr>
        <w:t xml:space="preserve"> </w:t>
      </w:r>
      <w:r>
        <w:rPr>
          <w:sz w:val="22"/>
          <w:szCs w:val="22"/>
        </w:rPr>
        <w:t>na výdaje související s výkonem pěstou</w:t>
      </w:r>
      <w:r>
        <w:rPr>
          <w:sz w:val="22"/>
          <w:szCs w:val="22"/>
        </w:rPr>
        <w:t>n</w:t>
      </w:r>
      <w:r>
        <w:rPr>
          <w:sz w:val="22"/>
          <w:szCs w:val="22"/>
        </w:rPr>
        <w:t xml:space="preserve">ské péče ve výši 1.126 </w:t>
      </w:r>
      <w:r w:rsidR="005E1108">
        <w:rPr>
          <w:sz w:val="22"/>
          <w:szCs w:val="22"/>
        </w:rPr>
        <w:t>tis. Kč</w:t>
      </w:r>
      <w:r>
        <w:rPr>
          <w:sz w:val="22"/>
          <w:szCs w:val="22"/>
        </w:rPr>
        <w:t xml:space="preserve">. </w:t>
      </w:r>
      <w:r w:rsidR="00993A44">
        <w:rPr>
          <w:sz w:val="22"/>
          <w:szCs w:val="22"/>
        </w:rPr>
        <w:t>V</w:t>
      </w:r>
      <w:r>
        <w:rPr>
          <w:sz w:val="22"/>
          <w:szCs w:val="22"/>
        </w:rPr>
        <w:t xml:space="preserve">ýdaje byly čerpány v celkové výši </w:t>
      </w:r>
      <w:r w:rsidRPr="00337694">
        <w:rPr>
          <w:sz w:val="22"/>
          <w:szCs w:val="22"/>
        </w:rPr>
        <w:t xml:space="preserve">1.121,3 </w:t>
      </w:r>
      <w:r w:rsidR="005E1108">
        <w:rPr>
          <w:sz w:val="22"/>
          <w:szCs w:val="22"/>
        </w:rPr>
        <w:t>tis. Kč</w:t>
      </w:r>
      <w:r>
        <w:rPr>
          <w:sz w:val="22"/>
          <w:szCs w:val="22"/>
        </w:rPr>
        <w:t>.</w:t>
      </w:r>
    </w:p>
    <w:p w:rsidR="002E2525" w:rsidRDefault="002E2525" w:rsidP="00871745">
      <w:pPr>
        <w:jc w:val="both"/>
      </w:pPr>
    </w:p>
    <w:p w:rsidR="00D049A6" w:rsidRPr="003E450D" w:rsidRDefault="002E522D" w:rsidP="00871745">
      <w:pPr>
        <w:jc w:val="both"/>
        <w:rPr>
          <w:i/>
          <w:sz w:val="22"/>
          <w:szCs w:val="22"/>
        </w:rPr>
      </w:pPr>
      <w:r w:rsidRPr="003E450D">
        <w:rPr>
          <w:i/>
          <w:sz w:val="22"/>
          <w:szCs w:val="22"/>
        </w:rPr>
        <w:t>Podkapitola 0539 Odbor sociální</w:t>
      </w:r>
      <w:r w:rsidR="00993A44" w:rsidRPr="003E450D">
        <w:rPr>
          <w:i/>
          <w:sz w:val="22"/>
          <w:szCs w:val="22"/>
        </w:rPr>
        <w:t xml:space="preserve"> problematiky a </w:t>
      </w:r>
      <w:r w:rsidRPr="003E450D">
        <w:rPr>
          <w:i/>
          <w:sz w:val="22"/>
          <w:szCs w:val="22"/>
        </w:rPr>
        <w:t>preven</w:t>
      </w:r>
      <w:r w:rsidR="00D049A6" w:rsidRPr="003E450D">
        <w:rPr>
          <w:i/>
          <w:sz w:val="22"/>
          <w:szCs w:val="22"/>
        </w:rPr>
        <w:t>ce kriminality</w:t>
      </w:r>
    </w:p>
    <w:p w:rsidR="00993A44" w:rsidRPr="003E450D" w:rsidRDefault="00993A44" w:rsidP="00871745">
      <w:pPr>
        <w:jc w:val="both"/>
        <w:rPr>
          <w:sz w:val="22"/>
          <w:szCs w:val="22"/>
        </w:rPr>
      </w:pPr>
      <w:r w:rsidRPr="003E450D">
        <w:rPr>
          <w:sz w:val="22"/>
          <w:szCs w:val="22"/>
        </w:rPr>
        <w:t xml:space="preserve">Výdaje podkapitoly ve výši 26.878,2 </w:t>
      </w:r>
      <w:r w:rsidR="005E1108">
        <w:rPr>
          <w:sz w:val="22"/>
          <w:szCs w:val="22"/>
        </w:rPr>
        <w:t>tis. Kč</w:t>
      </w:r>
      <w:r w:rsidRPr="003E450D">
        <w:rPr>
          <w:sz w:val="22"/>
          <w:szCs w:val="22"/>
        </w:rPr>
        <w:t xml:space="preserve"> byly z podstatné části určené jako neinvestiční příspěvek příspěvkové organizaci Centru</w:t>
      </w:r>
      <w:r w:rsidR="009B0B1A">
        <w:rPr>
          <w:sz w:val="22"/>
          <w:szCs w:val="22"/>
        </w:rPr>
        <w:t>m</w:t>
      </w:r>
      <w:r w:rsidRPr="003E450D">
        <w:rPr>
          <w:sz w:val="22"/>
          <w:szCs w:val="22"/>
        </w:rPr>
        <w:t xml:space="preserve"> sociální a ošetřovatelské pomoci (CSOP) a to ve výši 23.961,7 </w:t>
      </w:r>
      <w:r w:rsidR="005E1108">
        <w:rPr>
          <w:sz w:val="22"/>
          <w:szCs w:val="22"/>
        </w:rPr>
        <w:t>tis. Kč</w:t>
      </w:r>
      <w:r w:rsidRPr="003E450D">
        <w:rPr>
          <w:sz w:val="22"/>
          <w:szCs w:val="22"/>
        </w:rPr>
        <w:t>. Součástí CSOP je nově i Komunitní centrum Prádelna, které bylo otevřeno 1.1.2013.</w:t>
      </w:r>
    </w:p>
    <w:p w:rsidR="00993A44" w:rsidRPr="003E450D" w:rsidRDefault="00993A44" w:rsidP="00871745">
      <w:pPr>
        <w:jc w:val="both"/>
        <w:rPr>
          <w:sz w:val="22"/>
          <w:szCs w:val="22"/>
        </w:rPr>
      </w:pPr>
      <w:r w:rsidRPr="003E450D">
        <w:rPr>
          <w:sz w:val="22"/>
          <w:szCs w:val="22"/>
        </w:rPr>
        <w:t xml:space="preserve">V rámci podkapitoly byly realizovány též různé kulturně-společenské akce, např. příměstský tábor, jarní den seniorů (121,9 </w:t>
      </w:r>
      <w:r w:rsidR="005E1108">
        <w:rPr>
          <w:sz w:val="22"/>
          <w:szCs w:val="22"/>
        </w:rPr>
        <w:t>tis. Kč</w:t>
      </w:r>
      <w:r w:rsidRPr="003E450D">
        <w:rPr>
          <w:sz w:val="22"/>
          <w:szCs w:val="22"/>
        </w:rPr>
        <w:t>), pravidelně jsou aktualizovány webové stránky Komunitního plán</w:t>
      </w:r>
      <w:r w:rsidRPr="003E450D">
        <w:rPr>
          <w:sz w:val="22"/>
          <w:szCs w:val="22"/>
        </w:rPr>
        <w:t>o</w:t>
      </w:r>
      <w:r w:rsidRPr="003E450D">
        <w:rPr>
          <w:sz w:val="22"/>
          <w:szCs w:val="22"/>
        </w:rPr>
        <w:t xml:space="preserve">vání (188,6 </w:t>
      </w:r>
      <w:r w:rsidR="005E1108">
        <w:rPr>
          <w:sz w:val="22"/>
          <w:szCs w:val="22"/>
        </w:rPr>
        <w:t>tis. Kč</w:t>
      </w:r>
      <w:r w:rsidRPr="003E450D">
        <w:rPr>
          <w:sz w:val="22"/>
          <w:szCs w:val="22"/>
        </w:rPr>
        <w:t>).</w:t>
      </w:r>
    </w:p>
    <w:p w:rsidR="00993A44" w:rsidRPr="003E450D" w:rsidRDefault="00993A44" w:rsidP="00871745">
      <w:pPr>
        <w:jc w:val="both"/>
        <w:rPr>
          <w:sz w:val="22"/>
          <w:szCs w:val="22"/>
        </w:rPr>
      </w:pPr>
      <w:r w:rsidRPr="003E450D">
        <w:rPr>
          <w:sz w:val="22"/>
          <w:szCs w:val="22"/>
        </w:rPr>
        <w:t xml:space="preserve">Byly poskytnuty granty v celkové výši 434,3 </w:t>
      </w:r>
      <w:r w:rsidR="005E1108">
        <w:rPr>
          <w:sz w:val="22"/>
          <w:szCs w:val="22"/>
        </w:rPr>
        <w:t>tis. Kč</w:t>
      </w:r>
      <w:r w:rsidRPr="003E450D">
        <w:rPr>
          <w:sz w:val="22"/>
          <w:szCs w:val="22"/>
        </w:rPr>
        <w:t xml:space="preserve">, bylo podpořeno </w:t>
      </w:r>
      <w:r w:rsidR="007E199B">
        <w:rPr>
          <w:sz w:val="22"/>
          <w:szCs w:val="22"/>
        </w:rPr>
        <w:t>22</w:t>
      </w:r>
      <w:r w:rsidRPr="003E450D">
        <w:rPr>
          <w:sz w:val="22"/>
          <w:szCs w:val="22"/>
        </w:rPr>
        <w:t xml:space="preserve"> organizací </w:t>
      </w:r>
      <w:r w:rsidR="00D21811" w:rsidRPr="003E450D">
        <w:rPr>
          <w:sz w:val="22"/>
          <w:szCs w:val="22"/>
        </w:rPr>
        <w:t>v</w:t>
      </w:r>
      <w:r w:rsidRPr="003E450D">
        <w:rPr>
          <w:sz w:val="22"/>
          <w:szCs w:val="22"/>
        </w:rPr>
        <w:t xml:space="preserve"> rámci programu</w:t>
      </w:r>
      <w:r w:rsidR="00A53695" w:rsidRPr="003E450D">
        <w:rPr>
          <w:sz w:val="22"/>
          <w:szCs w:val="22"/>
        </w:rPr>
        <w:t xml:space="preserve"> </w:t>
      </w:r>
      <w:r w:rsidR="00D21811" w:rsidRPr="003E450D">
        <w:rPr>
          <w:sz w:val="22"/>
          <w:szCs w:val="22"/>
        </w:rPr>
        <w:t>„Podaná ruka – oblast sociální“ a</w:t>
      </w:r>
      <w:r w:rsidR="00AA76C9">
        <w:rPr>
          <w:sz w:val="22"/>
          <w:szCs w:val="22"/>
        </w:rPr>
        <w:t xml:space="preserve"> </w:t>
      </w:r>
      <w:r w:rsidR="00D21811" w:rsidRPr="003E450D">
        <w:rPr>
          <w:sz w:val="22"/>
          <w:szCs w:val="22"/>
        </w:rPr>
        <w:t>„Podaná ruka – podpora vol</w:t>
      </w:r>
      <w:r w:rsidR="009B0B1A">
        <w:rPr>
          <w:sz w:val="22"/>
          <w:szCs w:val="22"/>
        </w:rPr>
        <w:t>nočasových aktivit občanům MČ“.</w:t>
      </w:r>
    </w:p>
    <w:p w:rsidR="00D049A6" w:rsidRDefault="00D049A6" w:rsidP="00871745">
      <w:pPr>
        <w:jc w:val="both"/>
        <w:rPr>
          <w:color w:val="000000"/>
          <w:sz w:val="22"/>
          <w:szCs w:val="22"/>
        </w:rPr>
      </w:pPr>
    </w:p>
    <w:p w:rsidR="0033613F" w:rsidRPr="006121FF" w:rsidRDefault="0033613F" w:rsidP="00871745">
      <w:pPr>
        <w:jc w:val="both"/>
        <w:rPr>
          <w:sz w:val="22"/>
          <w:szCs w:val="22"/>
        </w:rPr>
      </w:pPr>
      <w:r w:rsidRPr="006121FF">
        <w:rPr>
          <w:i/>
          <w:color w:val="000000"/>
          <w:sz w:val="22"/>
          <w:szCs w:val="22"/>
        </w:rPr>
        <w:t>Podkapitola 0551 Odbor investic</w:t>
      </w:r>
    </w:p>
    <w:p w:rsidR="0033613F" w:rsidRPr="003E450D" w:rsidRDefault="0033613F" w:rsidP="00871745">
      <w:pPr>
        <w:jc w:val="both"/>
        <w:rPr>
          <w:sz w:val="22"/>
          <w:szCs w:val="22"/>
        </w:rPr>
      </w:pPr>
      <w:r w:rsidRPr="003E450D">
        <w:rPr>
          <w:sz w:val="22"/>
          <w:szCs w:val="22"/>
        </w:rPr>
        <w:t>Investiční výdaje ve výši</w:t>
      </w:r>
      <w:r w:rsidR="00AA76C9">
        <w:rPr>
          <w:sz w:val="22"/>
          <w:szCs w:val="22"/>
        </w:rPr>
        <w:t xml:space="preserve"> </w:t>
      </w:r>
      <w:r w:rsidRPr="003E450D">
        <w:rPr>
          <w:sz w:val="22"/>
          <w:szCs w:val="22"/>
        </w:rPr>
        <w:t xml:space="preserve">1.615,6 </w:t>
      </w:r>
      <w:r w:rsidR="005E1108">
        <w:rPr>
          <w:sz w:val="22"/>
          <w:szCs w:val="22"/>
        </w:rPr>
        <w:t>tis. Kč</w:t>
      </w:r>
      <w:r w:rsidRPr="003E450D">
        <w:rPr>
          <w:sz w:val="22"/>
          <w:szCs w:val="22"/>
        </w:rPr>
        <w:t xml:space="preserve"> byly čerpány na </w:t>
      </w:r>
      <w:r w:rsidR="005A0B73" w:rsidRPr="003E450D">
        <w:rPr>
          <w:sz w:val="22"/>
          <w:szCs w:val="22"/>
        </w:rPr>
        <w:t>k</w:t>
      </w:r>
      <w:r w:rsidRPr="003E450D">
        <w:rPr>
          <w:sz w:val="22"/>
          <w:szCs w:val="22"/>
        </w:rPr>
        <w:t xml:space="preserve">limatizaci podkroví objektu Komunitního centra Prádelna </w:t>
      </w:r>
      <w:r w:rsidR="005A0B73" w:rsidRPr="003E450D">
        <w:rPr>
          <w:sz w:val="22"/>
          <w:szCs w:val="22"/>
        </w:rPr>
        <w:t>(</w:t>
      </w:r>
      <w:r w:rsidRPr="003E450D">
        <w:rPr>
          <w:sz w:val="22"/>
          <w:szCs w:val="22"/>
        </w:rPr>
        <w:t xml:space="preserve">1.090 </w:t>
      </w:r>
      <w:r w:rsidR="005E1108">
        <w:rPr>
          <w:sz w:val="22"/>
          <w:szCs w:val="22"/>
        </w:rPr>
        <w:t>tis. Kč</w:t>
      </w:r>
      <w:r w:rsidR="005A0B73" w:rsidRPr="003E450D">
        <w:rPr>
          <w:sz w:val="22"/>
          <w:szCs w:val="22"/>
        </w:rPr>
        <w:t>)</w:t>
      </w:r>
      <w:r w:rsidRPr="003E450D">
        <w:rPr>
          <w:sz w:val="22"/>
          <w:szCs w:val="22"/>
        </w:rPr>
        <w:t>. Výdaje na vybudování nového vstupu do nebytových prostor nízk</w:t>
      </w:r>
      <w:r w:rsidRPr="003E450D">
        <w:rPr>
          <w:sz w:val="22"/>
          <w:szCs w:val="22"/>
        </w:rPr>
        <w:t>o</w:t>
      </w:r>
      <w:r w:rsidRPr="003E450D">
        <w:rPr>
          <w:sz w:val="22"/>
          <w:szCs w:val="22"/>
        </w:rPr>
        <w:t>prahového zařízení v domě čp.</w:t>
      </w:r>
      <w:r w:rsidR="005A0B73" w:rsidRPr="003E450D">
        <w:rPr>
          <w:sz w:val="22"/>
          <w:szCs w:val="22"/>
        </w:rPr>
        <w:t xml:space="preserve"> </w:t>
      </w:r>
      <w:r w:rsidRPr="003E450D">
        <w:rPr>
          <w:sz w:val="22"/>
          <w:szCs w:val="22"/>
        </w:rPr>
        <w:t>918 U Královské louky 5 činily 495,3</w:t>
      </w:r>
      <w:r w:rsidR="00AA76C9">
        <w:rPr>
          <w:sz w:val="22"/>
          <w:szCs w:val="22"/>
        </w:rPr>
        <w:t xml:space="preserve"> </w:t>
      </w:r>
      <w:r w:rsidR="005E1108">
        <w:rPr>
          <w:sz w:val="22"/>
          <w:szCs w:val="22"/>
        </w:rPr>
        <w:t>tis. Kč</w:t>
      </w:r>
      <w:r w:rsidR="004E4EDE">
        <w:rPr>
          <w:sz w:val="22"/>
          <w:szCs w:val="22"/>
        </w:rPr>
        <w:t>.</w:t>
      </w:r>
    </w:p>
    <w:p w:rsidR="0033613F" w:rsidRDefault="0033613F" w:rsidP="00337694">
      <w:pPr>
        <w:rPr>
          <w:sz w:val="22"/>
          <w:szCs w:val="22"/>
        </w:rPr>
      </w:pPr>
    </w:p>
    <w:p w:rsidR="00AC546B" w:rsidRPr="003E450D" w:rsidRDefault="004A0F1C" w:rsidP="003E450D">
      <w:pPr>
        <w:pStyle w:val="Nadpis5"/>
      </w:pPr>
      <w:bookmarkStart w:id="24" w:name="_Toc385875209"/>
      <w:r>
        <w:t>Kapitola</w:t>
      </w:r>
      <w:r w:rsidR="00C422DC" w:rsidRPr="003E450D">
        <w:t xml:space="preserve"> 06</w:t>
      </w:r>
      <w:r w:rsidR="00C422DC">
        <w:tab/>
      </w:r>
      <w:r w:rsidR="00AC546B" w:rsidRPr="003E450D">
        <w:t>K</w:t>
      </w:r>
      <w:r w:rsidR="00C422DC">
        <w:t>ultura</w:t>
      </w:r>
      <w:bookmarkEnd w:id="24"/>
    </w:p>
    <w:p w:rsidR="008466FA" w:rsidRDefault="008466FA" w:rsidP="00E92689"/>
    <w:p w:rsidR="005818F8" w:rsidRPr="003E450D" w:rsidRDefault="005818F8" w:rsidP="00871745">
      <w:pPr>
        <w:jc w:val="both"/>
        <w:rPr>
          <w:sz w:val="22"/>
          <w:szCs w:val="22"/>
        </w:rPr>
      </w:pPr>
      <w:r w:rsidRPr="003E450D">
        <w:rPr>
          <w:sz w:val="22"/>
          <w:szCs w:val="22"/>
        </w:rPr>
        <w:t xml:space="preserve">V oblasti kultury bylo čerpáno celkem 34.967, </w:t>
      </w:r>
      <w:r w:rsidR="005E1108">
        <w:rPr>
          <w:sz w:val="22"/>
          <w:szCs w:val="22"/>
        </w:rPr>
        <w:t>tis. Kč</w:t>
      </w:r>
      <w:r w:rsidRPr="003E450D">
        <w:rPr>
          <w:sz w:val="22"/>
          <w:szCs w:val="22"/>
        </w:rPr>
        <w:t xml:space="preserve">. </w:t>
      </w:r>
      <w:r w:rsidR="00CA2192" w:rsidRPr="003E450D">
        <w:rPr>
          <w:sz w:val="22"/>
          <w:szCs w:val="22"/>
        </w:rPr>
        <w:t>Na celkovém objemu výdajů se podílí v</w:t>
      </w:r>
      <w:r w:rsidR="00871745">
        <w:rPr>
          <w:sz w:val="22"/>
          <w:szCs w:val="22"/>
        </w:rPr>
        <w:t>ýdaje do oblasti kultury 5,1 %.</w:t>
      </w:r>
    </w:p>
    <w:p w:rsidR="002D2CEF" w:rsidRDefault="002D2CEF" w:rsidP="00E92689"/>
    <w:p w:rsidR="00CE6490" w:rsidRPr="003045FC" w:rsidRDefault="002D2CEF" w:rsidP="00E92689">
      <w:pPr>
        <w:rPr>
          <w:i/>
          <w:sz w:val="22"/>
          <w:szCs w:val="22"/>
        </w:rPr>
      </w:pPr>
      <w:r w:rsidRPr="003045FC">
        <w:rPr>
          <w:i/>
          <w:sz w:val="22"/>
          <w:szCs w:val="22"/>
        </w:rPr>
        <w:t>Podkapitola 0601 Odbor propagace a protokolu</w:t>
      </w:r>
    </w:p>
    <w:p w:rsidR="002D2CEF" w:rsidRDefault="002D2CEF" w:rsidP="00E92689">
      <w:pPr>
        <w:rPr>
          <w:sz w:val="22"/>
          <w:szCs w:val="22"/>
        </w:rPr>
      </w:pPr>
      <w:r w:rsidRPr="003045FC">
        <w:rPr>
          <w:sz w:val="22"/>
          <w:szCs w:val="22"/>
        </w:rPr>
        <w:t>Celkem bylo v této podkapitole čerpáno 15.900,1 tis. Kč. Finanční prostředky určené na provoz  I</w:t>
      </w:r>
      <w:r w:rsidRPr="003045FC">
        <w:rPr>
          <w:sz w:val="22"/>
          <w:szCs w:val="22"/>
        </w:rPr>
        <w:t>n</w:t>
      </w:r>
      <w:r w:rsidRPr="003045FC">
        <w:rPr>
          <w:sz w:val="22"/>
          <w:szCs w:val="22"/>
        </w:rPr>
        <w:t>formačního centra Praha o.</w:t>
      </w:r>
      <w:proofErr w:type="spellStart"/>
      <w:r w:rsidRPr="003045FC">
        <w:rPr>
          <w:sz w:val="22"/>
          <w:szCs w:val="22"/>
        </w:rPr>
        <w:t>p.s</w:t>
      </w:r>
      <w:proofErr w:type="spellEnd"/>
      <w:r w:rsidRPr="003045FC">
        <w:rPr>
          <w:sz w:val="22"/>
          <w:szCs w:val="22"/>
        </w:rPr>
        <w:t xml:space="preserve"> byly ve výši 2.735,0 </w:t>
      </w:r>
      <w:proofErr w:type="gramStart"/>
      <w:r w:rsidRPr="003045FC">
        <w:rPr>
          <w:sz w:val="22"/>
          <w:szCs w:val="22"/>
        </w:rPr>
        <w:t>tis.Kč</w:t>
      </w:r>
      <w:proofErr w:type="gramEnd"/>
      <w:r w:rsidRPr="003045FC">
        <w:rPr>
          <w:sz w:val="22"/>
          <w:szCs w:val="22"/>
        </w:rPr>
        <w:t>. Odbor zajišťoval tradiční farmářské trhy ve výši 970 tis. Kč. Ostatní finanční prostředky byly čerpány na velikonoční a vánoční trhy</w:t>
      </w:r>
      <w:r w:rsidR="00B341C4" w:rsidRPr="003045FC">
        <w:rPr>
          <w:sz w:val="22"/>
          <w:szCs w:val="22"/>
        </w:rPr>
        <w:t xml:space="preserve"> pořádaných v prostorách Anděl a Barrandov</w:t>
      </w:r>
      <w:r w:rsidRPr="003045FC">
        <w:rPr>
          <w:sz w:val="22"/>
          <w:szCs w:val="22"/>
        </w:rPr>
        <w:t>, výrobu a tisk informačních brožur a tiskovin, náklady na fotodok</w:t>
      </w:r>
      <w:r w:rsidRPr="003045FC">
        <w:rPr>
          <w:sz w:val="22"/>
          <w:szCs w:val="22"/>
        </w:rPr>
        <w:t>u</w:t>
      </w:r>
      <w:r w:rsidRPr="003045FC">
        <w:rPr>
          <w:sz w:val="22"/>
          <w:szCs w:val="22"/>
        </w:rPr>
        <w:t>mentaci. Dále na výstavy, pietní akty a výzdobu památných míst na Praze 5, nákup a výrobu rekla</w:t>
      </w:r>
      <w:r w:rsidRPr="003045FC">
        <w:rPr>
          <w:sz w:val="22"/>
          <w:szCs w:val="22"/>
        </w:rPr>
        <w:t>m</w:t>
      </w:r>
      <w:r w:rsidRPr="003045FC">
        <w:rPr>
          <w:sz w:val="22"/>
          <w:szCs w:val="22"/>
        </w:rPr>
        <w:t>ních předmětů na propagaci MČ Praha 5, na realizace akcí pořád</w:t>
      </w:r>
      <w:r w:rsidRPr="003045FC">
        <w:rPr>
          <w:sz w:val="22"/>
          <w:szCs w:val="22"/>
        </w:rPr>
        <w:t>a</w:t>
      </w:r>
      <w:r w:rsidRPr="003045FC">
        <w:rPr>
          <w:sz w:val="22"/>
          <w:szCs w:val="22"/>
        </w:rPr>
        <w:t>ných MČ Praha 5 ve výši 5.604,5 tis. Kč.</w:t>
      </w:r>
    </w:p>
    <w:p w:rsidR="00160C91" w:rsidRDefault="00160C91" w:rsidP="00E92689">
      <w:pPr>
        <w:rPr>
          <w:sz w:val="22"/>
          <w:szCs w:val="22"/>
        </w:rPr>
      </w:pPr>
    </w:p>
    <w:p w:rsidR="00160C91" w:rsidRDefault="00160C91" w:rsidP="00E92689">
      <w:pPr>
        <w:rPr>
          <w:sz w:val="22"/>
          <w:szCs w:val="22"/>
        </w:rPr>
      </w:pPr>
    </w:p>
    <w:p w:rsidR="00160C91" w:rsidRDefault="00160C91" w:rsidP="00E92689">
      <w:pPr>
        <w:rPr>
          <w:sz w:val="22"/>
          <w:szCs w:val="22"/>
        </w:rPr>
      </w:pPr>
    </w:p>
    <w:p w:rsidR="00160C91" w:rsidRDefault="00160C91" w:rsidP="00E92689">
      <w:pPr>
        <w:rPr>
          <w:sz w:val="22"/>
          <w:szCs w:val="22"/>
        </w:rPr>
      </w:pPr>
    </w:p>
    <w:p w:rsidR="00160C91" w:rsidRDefault="00160C91" w:rsidP="00E92689">
      <w:pPr>
        <w:rPr>
          <w:sz w:val="22"/>
          <w:szCs w:val="22"/>
        </w:rPr>
      </w:pPr>
    </w:p>
    <w:p w:rsidR="00160C91" w:rsidRPr="003045FC" w:rsidRDefault="00160C91" w:rsidP="00E92689">
      <w:pPr>
        <w:rPr>
          <w:sz w:val="22"/>
          <w:szCs w:val="22"/>
        </w:rPr>
      </w:pPr>
    </w:p>
    <w:p w:rsidR="002D2CEF" w:rsidRDefault="002D2CEF" w:rsidP="00E92689"/>
    <w:p w:rsidR="00513339" w:rsidRPr="006121FF" w:rsidRDefault="00513339" w:rsidP="00513339">
      <w:pPr>
        <w:rPr>
          <w:i/>
          <w:sz w:val="22"/>
          <w:szCs w:val="22"/>
        </w:rPr>
      </w:pPr>
      <w:r w:rsidRPr="006121FF">
        <w:rPr>
          <w:i/>
          <w:sz w:val="22"/>
          <w:szCs w:val="22"/>
        </w:rPr>
        <w:lastRenderedPageBreak/>
        <w:t>Podkapitola 0608</w:t>
      </w:r>
      <w:r w:rsidR="00AA76C9">
        <w:rPr>
          <w:i/>
          <w:sz w:val="22"/>
          <w:szCs w:val="22"/>
        </w:rPr>
        <w:t xml:space="preserve"> </w:t>
      </w:r>
      <w:r w:rsidRPr="006121FF">
        <w:rPr>
          <w:i/>
          <w:sz w:val="22"/>
          <w:szCs w:val="22"/>
        </w:rPr>
        <w:t>Odbor občanskosprávní</w:t>
      </w:r>
    </w:p>
    <w:p w:rsidR="00513339" w:rsidRDefault="00513339" w:rsidP="00513339">
      <w:pPr>
        <w:jc w:val="both"/>
        <w:rPr>
          <w:sz w:val="22"/>
          <w:szCs w:val="22"/>
        </w:rPr>
      </w:pPr>
      <w:r w:rsidRPr="00065221">
        <w:rPr>
          <w:sz w:val="22"/>
          <w:szCs w:val="22"/>
        </w:rPr>
        <w:t>Celkové výdaje</w:t>
      </w:r>
      <w:r>
        <w:rPr>
          <w:sz w:val="22"/>
          <w:szCs w:val="22"/>
        </w:rPr>
        <w:t xml:space="preserve"> </w:t>
      </w:r>
      <w:r w:rsidRPr="00065221">
        <w:rPr>
          <w:sz w:val="22"/>
          <w:szCs w:val="22"/>
        </w:rPr>
        <w:t>byly na rok 2013 rozpočtovány ve výši 2</w:t>
      </w:r>
      <w:r w:rsidR="00DF54A6">
        <w:rPr>
          <w:sz w:val="22"/>
          <w:szCs w:val="22"/>
        </w:rPr>
        <w:t>73,6</w:t>
      </w:r>
      <w:r w:rsidR="005A0B73">
        <w:rPr>
          <w:sz w:val="22"/>
          <w:szCs w:val="22"/>
        </w:rPr>
        <w:t xml:space="preserve"> </w:t>
      </w:r>
      <w:r w:rsidR="005E1108">
        <w:rPr>
          <w:sz w:val="22"/>
          <w:szCs w:val="22"/>
        </w:rPr>
        <w:t>tis. Kč</w:t>
      </w:r>
      <w:r w:rsidRPr="00065221">
        <w:rPr>
          <w:sz w:val="22"/>
          <w:szCs w:val="22"/>
        </w:rPr>
        <w:t xml:space="preserve">, </w:t>
      </w:r>
      <w:r w:rsidR="005756E7">
        <w:rPr>
          <w:sz w:val="22"/>
          <w:szCs w:val="22"/>
        </w:rPr>
        <w:t xml:space="preserve">většinu výdajů tvořily dary, </w:t>
      </w:r>
      <w:r>
        <w:rPr>
          <w:sz w:val="22"/>
          <w:szCs w:val="22"/>
        </w:rPr>
        <w:t>n</w:t>
      </w:r>
      <w:r>
        <w:rPr>
          <w:sz w:val="22"/>
          <w:szCs w:val="22"/>
        </w:rPr>
        <w:t>a</w:t>
      </w:r>
      <w:r>
        <w:rPr>
          <w:sz w:val="22"/>
          <w:szCs w:val="22"/>
        </w:rPr>
        <w:t>rození prvního ob</w:t>
      </w:r>
      <w:r w:rsidR="005756E7">
        <w:rPr>
          <w:sz w:val="22"/>
          <w:szCs w:val="22"/>
        </w:rPr>
        <w:t xml:space="preserve">čánka Prahy 5 </w:t>
      </w:r>
      <w:r>
        <w:rPr>
          <w:sz w:val="22"/>
          <w:szCs w:val="22"/>
        </w:rPr>
        <w:t>a</w:t>
      </w:r>
      <w:r w:rsidR="00AA76C9">
        <w:rPr>
          <w:sz w:val="22"/>
          <w:szCs w:val="22"/>
        </w:rPr>
        <w:t xml:space="preserve"> </w:t>
      </w:r>
      <w:r>
        <w:rPr>
          <w:sz w:val="22"/>
          <w:szCs w:val="22"/>
        </w:rPr>
        <w:t xml:space="preserve">věcné dary v souvislosti s vítáním občánků - nákup zlatých řetízků (199,2 </w:t>
      </w:r>
      <w:r w:rsidR="005E1108">
        <w:rPr>
          <w:sz w:val="22"/>
          <w:szCs w:val="22"/>
        </w:rPr>
        <w:t>tis. Kč</w:t>
      </w:r>
      <w:r w:rsidR="002E4E77">
        <w:rPr>
          <w:sz w:val="22"/>
          <w:szCs w:val="22"/>
        </w:rPr>
        <w:t>).</w:t>
      </w:r>
    </w:p>
    <w:p w:rsidR="007823EF" w:rsidRDefault="007823EF" w:rsidP="00CE6490">
      <w:pPr>
        <w:jc w:val="both"/>
        <w:rPr>
          <w:i/>
          <w:color w:val="000000"/>
          <w:sz w:val="22"/>
          <w:szCs w:val="22"/>
        </w:rPr>
      </w:pPr>
    </w:p>
    <w:p w:rsidR="00CE6490" w:rsidRPr="006121FF" w:rsidRDefault="00CE6490" w:rsidP="00CE6490">
      <w:pPr>
        <w:jc w:val="both"/>
        <w:rPr>
          <w:i/>
          <w:color w:val="000000"/>
          <w:sz w:val="22"/>
          <w:szCs w:val="22"/>
        </w:rPr>
      </w:pPr>
      <w:r w:rsidRPr="006121FF">
        <w:rPr>
          <w:i/>
          <w:color w:val="000000"/>
          <w:sz w:val="22"/>
          <w:szCs w:val="22"/>
        </w:rPr>
        <w:t xml:space="preserve">Podkapitola 0624 – Informatika </w:t>
      </w:r>
    </w:p>
    <w:p w:rsidR="00CE6490" w:rsidRDefault="00CE6490" w:rsidP="00CE6490">
      <w:pPr>
        <w:jc w:val="both"/>
        <w:rPr>
          <w:color w:val="000000"/>
          <w:sz w:val="22"/>
          <w:szCs w:val="22"/>
        </w:rPr>
      </w:pPr>
      <w:r>
        <w:rPr>
          <w:color w:val="000000"/>
          <w:sz w:val="22"/>
          <w:szCs w:val="22"/>
        </w:rPr>
        <w:t xml:space="preserve">Ve sledovaném období bylo čerpání ve výši 1.886 </w:t>
      </w:r>
      <w:r w:rsidR="005E1108">
        <w:rPr>
          <w:color w:val="000000"/>
          <w:sz w:val="22"/>
          <w:szCs w:val="22"/>
        </w:rPr>
        <w:t>tis. Kč</w:t>
      </w:r>
      <w:r>
        <w:rPr>
          <w:color w:val="000000"/>
          <w:sz w:val="22"/>
          <w:szCs w:val="22"/>
        </w:rPr>
        <w:t>,</w:t>
      </w:r>
      <w:r w:rsidR="00777ED0">
        <w:rPr>
          <w:color w:val="000000"/>
          <w:sz w:val="22"/>
          <w:szCs w:val="22"/>
        </w:rPr>
        <w:t xml:space="preserve"> v podkapitole se realizují výdaje </w:t>
      </w:r>
      <w:r>
        <w:rPr>
          <w:color w:val="000000"/>
          <w:sz w:val="22"/>
          <w:szCs w:val="22"/>
        </w:rPr>
        <w:t>za připoj</w:t>
      </w:r>
      <w:r>
        <w:rPr>
          <w:color w:val="000000"/>
          <w:sz w:val="22"/>
          <w:szCs w:val="22"/>
        </w:rPr>
        <w:t>e</w:t>
      </w:r>
      <w:r>
        <w:rPr>
          <w:color w:val="000000"/>
          <w:sz w:val="22"/>
          <w:szCs w:val="22"/>
        </w:rPr>
        <w:t>ní k</w:t>
      </w:r>
      <w:r w:rsidR="00AA76C9">
        <w:rPr>
          <w:color w:val="000000"/>
          <w:sz w:val="22"/>
          <w:szCs w:val="22"/>
        </w:rPr>
        <w:t xml:space="preserve"> </w:t>
      </w:r>
      <w:r>
        <w:rPr>
          <w:color w:val="000000"/>
          <w:sz w:val="22"/>
          <w:szCs w:val="22"/>
        </w:rPr>
        <w:t>internet</w:t>
      </w:r>
      <w:r w:rsidR="00777ED0">
        <w:rPr>
          <w:color w:val="000000"/>
          <w:sz w:val="22"/>
          <w:szCs w:val="22"/>
        </w:rPr>
        <w:t>u</w:t>
      </w:r>
      <w:r w:rsidR="00AA76C9">
        <w:rPr>
          <w:color w:val="000000"/>
          <w:sz w:val="22"/>
          <w:szCs w:val="22"/>
        </w:rPr>
        <w:t xml:space="preserve"> </w:t>
      </w:r>
      <w:r>
        <w:rPr>
          <w:color w:val="000000"/>
          <w:sz w:val="22"/>
          <w:szCs w:val="22"/>
        </w:rPr>
        <w:t xml:space="preserve">pro Mateřské školy a Základní školy, a </w:t>
      </w:r>
      <w:r w:rsidR="0019366D">
        <w:rPr>
          <w:color w:val="000000"/>
          <w:sz w:val="22"/>
          <w:szCs w:val="22"/>
        </w:rPr>
        <w:t xml:space="preserve">pro </w:t>
      </w:r>
      <w:r>
        <w:rPr>
          <w:color w:val="000000"/>
          <w:sz w:val="22"/>
          <w:szCs w:val="22"/>
        </w:rPr>
        <w:t>zajištění přístupu k veřejnému internetu od společnosti GTS Czech s.</w:t>
      </w:r>
      <w:r w:rsidR="0019366D">
        <w:rPr>
          <w:color w:val="000000"/>
          <w:sz w:val="22"/>
          <w:szCs w:val="22"/>
        </w:rPr>
        <w:t xml:space="preserve"> </w:t>
      </w:r>
      <w:r>
        <w:rPr>
          <w:color w:val="000000"/>
          <w:sz w:val="22"/>
          <w:szCs w:val="22"/>
        </w:rPr>
        <w:t>r.</w:t>
      </w:r>
      <w:r w:rsidR="0019366D">
        <w:rPr>
          <w:color w:val="000000"/>
          <w:sz w:val="22"/>
          <w:szCs w:val="22"/>
        </w:rPr>
        <w:t xml:space="preserve"> </w:t>
      </w:r>
      <w:r>
        <w:rPr>
          <w:color w:val="000000"/>
          <w:sz w:val="22"/>
          <w:szCs w:val="22"/>
        </w:rPr>
        <w:t>o.</w:t>
      </w:r>
    </w:p>
    <w:p w:rsidR="00513339" w:rsidRDefault="00513339" w:rsidP="00E92689"/>
    <w:p w:rsidR="00513339" w:rsidRPr="003E450D" w:rsidRDefault="00513339" w:rsidP="003E450D">
      <w:pPr>
        <w:rPr>
          <w:i/>
          <w:sz w:val="22"/>
          <w:szCs w:val="22"/>
        </w:rPr>
      </w:pPr>
      <w:r w:rsidRPr="003E450D">
        <w:rPr>
          <w:i/>
          <w:sz w:val="22"/>
          <w:szCs w:val="22"/>
        </w:rPr>
        <w:t xml:space="preserve">Podkapitola 0626 – Odbor kancelář </w:t>
      </w:r>
      <w:r w:rsidR="00777ED0" w:rsidRPr="003E450D">
        <w:rPr>
          <w:i/>
          <w:sz w:val="22"/>
          <w:szCs w:val="22"/>
        </w:rPr>
        <w:t>tajemníka</w:t>
      </w:r>
    </w:p>
    <w:p w:rsidR="00513339" w:rsidRPr="003E450D" w:rsidRDefault="00513339" w:rsidP="003E450D">
      <w:pPr>
        <w:rPr>
          <w:sz w:val="22"/>
          <w:szCs w:val="22"/>
        </w:rPr>
      </w:pPr>
      <w:r w:rsidRPr="003E450D">
        <w:rPr>
          <w:sz w:val="22"/>
          <w:szCs w:val="22"/>
        </w:rPr>
        <w:t>Neinvestiční výdaje související s </w:t>
      </w:r>
      <w:r w:rsidR="00777ED0" w:rsidRPr="003E450D">
        <w:rPr>
          <w:sz w:val="22"/>
          <w:szCs w:val="22"/>
        </w:rPr>
        <w:t>odměňováním</w:t>
      </w:r>
      <w:r w:rsidRPr="003E450D">
        <w:rPr>
          <w:sz w:val="22"/>
          <w:szCs w:val="22"/>
        </w:rPr>
        <w:t xml:space="preserve"> zaměstnanců pracujících </w:t>
      </w:r>
      <w:r w:rsidR="00777ED0" w:rsidRPr="003E450D">
        <w:rPr>
          <w:sz w:val="22"/>
          <w:szCs w:val="22"/>
        </w:rPr>
        <w:t xml:space="preserve">v </w:t>
      </w:r>
      <w:r w:rsidRPr="003E450D">
        <w:rPr>
          <w:sz w:val="22"/>
          <w:szCs w:val="22"/>
        </w:rPr>
        <w:t>galeri</w:t>
      </w:r>
      <w:r w:rsidR="00777ED0" w:rsidRPr="003E450D">
        <w:rPr>
          <w:sz w:val="22"/>
          <w:szCs w:val="22"/>
        </w:rPr>
        <w:t>i</w:t>
      </w:r>
      <w:r w:rsidRPr="003E450D">
        <w:rPr>
          <w:sz w:val="22"/>
          <w:szCs w:val="22"/>
        </w:rPr>
        <w:t xml:space="preserve"> Portheimka </w:t>
      </w:r>
      <w:r w:rsidR="00777ED0" w:rsidRPr="003E450D">
        <w:rPr>
          <w:sz w:val="22"/>
          <w:szCs w:val="22"/>
        </w:rPr>
        <w:t>ve výši</w:t>
      </w:r>
      <w:r w:rsidRPr="003E450D">
        <w:rPr>
          <w:sz w:val="22"/>
          <w:szCs w:val="22"/>
        </w:rPr>
        <w:t xml:space="preserve"> </w:t>
      </w:r>
      <w:r w:rsidR="00E229F9" w:rsidRPr="003E450D">
        <w:rPr>
          <w:sz w:val="22"/>
          <w:szCs w:val="22"/>
        </w:rPr>
        <w:t xml:space="preserve">356 </w:t>
      </w:r>
      <w:r w:rsidR="005E1108">
        <w:rPr>
          <w:sz w:val="22"/>
          <w:szCs w:val="22"/>
        </w:rPr>
        <w:t>tis. Kč</w:t>
      </w:r>
      <w:r w:rsidR="00E229F9" w:rsidRPr="003E450D">
        <w:rPr>
          <w:sz w:val="22"/>
          <w:szCs w:val="22"/>
        </w:rPr>
        <w:t>.</w:t>
      </w:r>
    </w:p>
    <w:p w:rsidR="007823EF" w:rsidRDefault="007823EF" w:rsidP="0033613F">
      <w:pPr>
        <w:pStyle w:val="Odstavecseseznamem"/>
        <w:spacing w:after="200"/>
        <w:ind w:left="0"/>
        <w:jc w:val="both"/>
        <w:rPr>
          <w:sz w:val="22"/>
          <w:szCs w:val="22"/>
        </w:rPr>
      </w:pPr>
    </w:p>
    <w:p w:rsidR="0033613F" w:rsidRPr="006121FF" w:rsidRDefault="0033613F" w:rsidP="0033613F">
      <w:pPr>
        <w:pStyle w:val="Odstavecseseznamem"/>
        <w:spacing w:after="200"/>
        <w:ind w:left="0"/>
        <w:jc w:val="both"/>
        <w:rPr>
          <w:i/>
          <w:sz w:val="22"/>
          <w:szCs w:val="22"/>
        </w:rPr>
      </w:pPr>
      <w:r w:rsidRPr="006121FF">
        <w:rPr>
          <w:i/>
          <w:sz w:val="22"/>
          <w:szCs w:val="22"/>
        </w:rPr>
        <w:t xml:space="preserve">Podkapitola 0637 </w:t>
      </w:r>
      <w:r w:rsidR="00777ED0">
        <w:rPr>
          <w:i/>
          <w:sz w:val="22"/>
          <w:szCs w:val="22"/>
        </w:rPr>
        <w:t>Odbor k</w:t>
      </w:r>
      <w:r w:rsidRPr="006121FF">
        <w:rPr>
          <w:i/>
          <w:sz w:val="22"/>
          <w:szCs w:val="22"/>
        </w:rPr>
        <w:t xml:space="preserve">ancelář starosty </w:t>
      </w:r>
    </w:p>
    <w:p w:rsidR="005E3AB4" w:rsidRDefault="0033613F" w:rsidP="00D257DE">
      <w:pPr>
        <w:pStyle w:val="Odstavecseseznamem"/>
        <w:spacing w:after="200"/>
        <w:ind w:left="0"/>
        <w:jc w:val="both"/>
        <w:rPr>
          <w:sz w:val="22"/>
          <w:szCs w:val="22"/>
        </w:rPr>
      </w:pPr>
      <w:r>
        <w:rPr>
          <w:sz w:val="22"/>
          <w:szCs w:val="22"/>
        </w:rPr>
        <w:t xml:space="preserve">Celkem </w:t>
      </w:r>
      <w:r w:rsidRPr="000D16A1">
        <w:rPr>
          <w:sz w:val="22"/>
          <w:szCs w:val="22"/>
        </w:rPr>
        <w:t xml:space="preserve">bylo z podkapitoly 0637 čerpáno </w:t>
      </w:r>
      <w:r w:rsidRPr="00CB00E5">
        <w:rPr>
          <w:sz w:val="22"/>
          <w:szCs w:val="22"/>
        </w:rPr>
        <w:t>6</w:t>
      </w:r>
      <w:r>
        <w:rPr>
          <w:sz w:val="22"/>
          <w:szCs w:val="22"/>
        </w:rPr>
        <w:t> </w:t>
      </w:r>
      <w:r w:rsidRPr="00CB00E5">
        <w:rPr>
          <w:sz w:val="22"/>
          <w:szCs w:val="22"/>
        </w:rPr>
        <w:t>35</w:t>
      </w:r>
      <w:r>
        <w:rPr>
          <w:sz w:val="22"/>
          <w:szCs w:val="22"/>
        </w:rPr>
        <w:t>8,9</w:t>
      </w:r>
      <w:r w:rsidRPr="00CB00E5">
        <w:rPr>
          <w:sz w:val="22"/>
          <w:szCs w:val="22"/>
        </w:rPr>
        <w:t xml:space="preserve"> </w:t>
      </w:r>
      <w:r w:rsidR="005E1108">
        <w:rPr>
          <w:sz w:val="22"/>
          <w:szCs w:val="22"/>
        </w:rPr>
        <w:t>tis. Kč</w:t>
      </w:r>
      <w:r w:rsidR="00AD0B1B">
        <w:rPr>
          <w:sz w:val="22"/>
          <w:szCs w:val="22"/>
        </w:rPr>
        <w:t>. Největší položky výdajů tvoří vydávání č</w:t>
      </w:r>
      <w:r w:rsidR="00AD0B1B">
        <w:rPr>
          <w:sz w:val="22"/>
          <w:szCs w:val="22"/>
        </w:rPr>
        <w:t>a</w:t>
      </w:r>
      <w:r w:rsidR="00AD0B1B">
        <w:rPr>
          <w:sz w:val="22"/>
          <w:szCs w:val="22"/>
        </w:rPr>
        <w:t xml:space="preserve">sopisu Pětka pro Vás. Výroba stála 2.112,3 </w:t>
      </w:r>
      <w:r w:rsidR="005E1108">
        <w:rPr>
          <w:sz w:val="22"/>
          <w:szCs w:val="22"/>
        </w:rPr>
        <w:t>tis. Kč</w:t>
      </w:r>
      <w:r w:rsidR="00AD0B1B">
        <w:rPr>
          <w:sz w:val="22"/>
          <w:szCs w:val="22"/>
        </w:rPr>
        <w:t xml:space="preserve"> a distribuce 587,3 </w:t>
      </w:r>
      <w:r w:rsidR="005E1108">
        <w:rPr>
          <w:sz w:val="22"/>
          <w:szCs w:val="22"/>
        </w:rPr>
        <w:t>tis. Kč</w:t>
      </w:r>
      <w:r w:rsidR="00AD0B1B">
        <w:rPr>
          <w:sz w:val="22"/>
          <w:szCs w:val="22"/>
        </w:rPr>
        <w:t xml:space="preserve">. Provoz portálu televize P5TV.cz byl hrazen částkou 1.788,9 </w:t>
      </w:r>
      <w:r w:rsidR="005E1108">
        <w:rPr>
          <w:sz w:val="22"/>
          <w:szCs w:val="22"/>
        </w:rPr>
        <w:t>tis. Kč</w:t>
      </w:r>
      <w:r w:rsidR="00AD0B1B">
        <w:rPr>
          <w:sz w:val="22"/>
          <w:szCs w:val="22"/>
        </w:rPr>
        <w:t xml:space="preserve"> a PR služby stály 1.020,1 </w:t>
      </w:r>
      <w:r w:rsidR="005E1108">
        <w:rPr>
          <w:sz w:val="22"/>
          <w:szCs w:val="22"/>
        </w:rPr>
        <w:t>tis. Kč</w:t>
      </w:r>
      <w:r w:rsidR="00AD0B1B">
        <w:rPr>
          <w:sz w:val="22"/>
          <w:szCs w:val="22"/>
        </w:rPr>
        <w:t xml:space="preserve">. </w:t>
      </w:r>
    </w:p>
    <w:p w:rsidR="005818F8" w:rsidRPr="006121FF" w:rsidRDefault="00CE6490" w:rsidP="00CF45F0">
      <w:pPr>
        <w:rPr>
          <w:i/>
          <w:sz w:val="22"/>
          <w:szCs w:val="22"/>
        </w:rPr>
      </w:pPr>
      <w:r w:rsidRPr="006121FF">
        <w:rPr>
          <w:i/>
          <w:sz w:val="22"/>
          <w:szCs w:val="22"/>
        </w:rPr>
        <w:t xml:space="preserve">Podkapitola </w:t>
      </w:r>
      <w:r w:rsidR="005818F8" w:rsidRPr="006121FF">
        <w:rPr>
          <w:i/>
          <w:sz w:val="22"/>
          <w:szCs w:val="22"/>
        </w:rPr>
        <w:t xml:space="preserve">0640 </w:t>
      </w:r>
      <w:r w:rsidR="006D0003">
        <w:rPr>
          <w:i/>
          <w:sz w:val="22"/>
          <w:szCs w:val="22"/>
        </w:rPr>
        <w:t>Odbor školství, kultury a sportu</w:t>
      </w:r>
    </w:p>
    <w:p w:rsidR="0033613F" w:rsidRDefault="006D0003" w:rsidP="0033613F">
      <w:pPr>
        <w:jc w:val="both"/>
        <w:rPr>
          <w:sz w:val="22"/>
          <w:szCs w:val="22"/>
        </w:rPr>
      </w:pPr>
      <w:r>
        <w:rPr>
          <w:sz w:val="22"/>
          <w:szCs w:val="22"/>
        </w:rPr>
        <w:t xml:space="preserve">V podkapitole bylo </w:t>
      </w:r>
      <w:r w:rsidR="009F799A">
        <w:rPr>
          <w:sz w:val="22"/>
          <w:szCs w:val="22"/>
        </w:rPr>
        <w:t>vyčerpáno</w:t>
      </w:r>
      <w:r>
        <w:rPr>
          <w:sz w:val="22"/>
          <w:szCs w:val="22"/>
        </w:rPr>
        <w:t xml:space="preserve"> 10.059,6 </w:t>
      </w:r>
      <w:r w:rsidR="005E1108">
        <w:rPr>
          <w:sz w:val="22"/>
          <w:szCs w:val="22"/>
        </w:rPr>
        <w:t>tis. Kč</w:t>
      </w:r>
      <w:r>
        <w:rPr>
          <w:sz w:val="22"/>
          <w:szCs w:val="22"/>
        </w:rPr>
        <w:t xml:space="preserve">. Největší položku tvoří příspěvek na provoz Kulturního klubu Poštovka ve výši 1.699 </w:t>
      </w:r>
      <w:r w:rsidR="005E1108">
        <w:rPr>
          <w:sz w:val="22"/>
          <w:szCs w:val="22"/>
        </w:rPr>
        <w:t>tis. Kč</w:t>
      </w:r>
      <w:r>
        <w:rPr>
          <w:sz w:val="22"/>
          <w:szCs w:val="22"/>
        </w:rPr>
        <w:t xml:space="preserve">. </w:t>
      </w:r>
      <w:r w:rsidR="007C0E12">
        <w:rPr>
          <w:sz w:val="22"/>
          <w:szCs w:val="22"/>
        </w:rPr>
        <w:t xml:space="preserve">Podpořena byla činnost Švandova divadla částkou 1.500 </w:t>
      </w:r>
      <w:r w:rsidR="005E1108">
        <w:rPr>
          <w:sz w:val="22"/>
          <w:szCs w:val="22"/>
        </w:rPr>
        <w:t>tis. Kč</w:t>
      </w:r>
      <w:r w:rsidR="007C0E12">
        <w:rPr>
          <w:sz w:val="22"/>
          <w:szCs w:val="22"/>
        </w:rPr>
        <w:t xml:space="preserve">, organizovány byly koncerty Pražské komorní filharmonie (600 </w:t>
      </w:r>
      <w:r w:rsidR="005E1108">
        <w:rPr>
          <w:sz w:val="22"/>
          <w:szCs w:val="22"/>
        </w:rPr>
        <w:t>tis. Kč</w:t>
      </w:r>
      <w:r w:rsidR="007C0E12">
        <w:rPr>
          <w:sz w:val="22"/>
          <w:szCs w:val="22"/>
        </w:rPr>
        <w:t>), finanční příspěvek byl p</w:t>
      </w:r>
      <w:r w:rsidR="007C0E12">
        <w:rPr>
          <w:sz w:val="22"/>
          <w:szCs w:val="22"/>
        </w:rPr>
        <w:t>o</w:t>
      </w:r>
      <w:r w:rsidR="007C0E12">
        <w:rPr>
          <w:sz w:val="22"/>
          <w:szCs w:val="22"/>
        </w:rPr>
        <w:t xml:space="preserve">skytnut na akce United Islands (300 </w:t>
      </w:r>
      <w:r w:rsidR="005E1108">
        <w:rPr>
          <w:sz w:val="22"/>
          <w:szCs w:val="22"/>
        </w:rPr>
        <w:t>tis. Kč</w:t>
      </w:r>
      <w:r w:rsidR="007C0E12">
        <w:rPr>
          <w:sz w:val="22"/>
          <w:szCs w:val="22"/>
        </w:rPr>
        <w:t xml:space="preserve">), Dračí lodě (300 </w:t>
      </w:r>
      <w:r w:rsidR="005E1108">
        <w:rPr>
          <w:sz w:val="22"/>
          <w:szCs w:val="22"/>
        </w:rPr>
        <w:t>tis. Kč</w:t>
      </w:r>
      <w:r w:rsidR="007C0E12">
        <w:rPr>
          <w:sz w:val="22"/>
          <w:szCs w:val="22"/>
        </w:rPr>
        <w:t>) a další. Na již tradiční Febio</w:t>
      </w:r>
      <w:r w:rsidR="003E450D">
        <w:rPr>
          <w:sz w:val="22"/>
          <w:szCs w:val="22"/>
        </w:rPr>
        <w:t xml:space="preserve">fest jsme přispěli částkou 400 </w:t>
      </w:r>
      <w:r w:rsidR="005E1108">
        <w:rPr>
          <w:sz w:val="22"/>
          <w:szCs w:val="22"/>
        </w:rPr>
        <w:t>tis. Kč</w:t>
      </w:r>
      <w:r w:rsidR="007C0E12">
        <w:rPr>
          <w:sz w:val="22"/>
          <w:szCs w:val="22"/>
        </w:rPr>
        <w:t xml:space="preserve">. Formou grantů bylo poskytnuto 544,5 </w:t>
      </w:r>
      <w:r w:rsidR="005E1108">
        <w:rPr>
          <w:sz w:val="22"/>
          <w:szCs w:val="22"/>
        </w:rPr>
        <w:t>tis. Kč</w:t>
      </w:r>
      <w:r w:rsidR="007C0E12">
        <w:rPr>
          <w:sz w:val="22"/>
          <w:szCs w:val="22"/>
        </w:rPr>
        <w:t xml:space="preserve"> na program podpory kultury a rozvoj kulturních aktivit. </w:t>
      </w:r>
    </w:p>
    <w:p w:rsidR="006D0003" w:rsidRDefault="006D0003" w:rsidP="0033613F">
      <w:pPr>
        <w:jc w:val="both"/>
        <w:rPr>
          <w:sz w:val="22"/>
          <w:szCs w:val="22"/>
        </w:rPr>
      </w:pPr>
    </w:p>
    <w:p w:rsidR="00AC546B" w:rsidRPr="006121FF" w:rsidRDefault="004A0F1C" w:rsidP="003E450D">
      <w:pPr>
        <w:pStyle w:val="Nadpis5"/>
      </w:pPr>
      <w:bookmarkStart w:id="25" w:name="_Toc385875210"/>
      <w:r>
        <w:t>Kapitola</w:t>
      </w:r>
      <w:r w:rsidR="00C422DC" w:rsidRPr="006121FF">
        <w:t xml:space="preserve"> 07</w:t>
      </w:r>
      <w:r w:rsidR="00C422DC">
        <w:tab/>
      </w:r>
      <w:r w:rsidR="00AC546B" w:rsidRPr="006121FF">
        <w:t>B</w:t>
      </w:r>
      <w:r w:rsidR="00C422DC">
        <w:t>ezpečnost a veřejný pořádek</w:t>
      </w:r>
      <w:bookmarkEnd w:id="25"/>
    </w:p>
    <w:p w:rsidR="008466FA" w:rsidRDefault="008466FA" w:rsidP="00AC546B">
      <w:pPr>
        <w:rPr>
          <w:rStyle w:val="Nadpis3Char"/>
          <w:b w:val="0"/>
          <w:color w:val="000000"/>
          <w:sz w:val="22"/>
          <w:szCs w:val="22"/>
        </w:rPr>
      </w:pPr>
    </w:p>
    <w:p w:rsidR="00AC546B" w:rsidRDefault="00AC546B" w:rsidP="00AC546B">
      <w:pPr>
        <w:rPr>
          <w:color w:val="000000"/>
          <w:sz w:val="22"/>
          <w:szCs w:val="22"/>
          <w:u w:val="single"/>
        </w:rPr>
      </w:pPr>
      <w:r>
        <w:rPr>
          <w:rStyle w:val="Nadpis3Char"/>
          <w:b w:val="0"/>
          <w:color w:val="000000"/>
          <w:sz w:val="22"/>
          <w:szCs w:val="22"/>
        </w:rPr>
        <w:t>Schválený rozpočet</w:t>
      </w:r>
      <w:r w:rsidR="00AA76C9">
        <w:rPr>
          <w:rStyle w:val="Nadpis3Char"/>
          <w:b w:val="0"/>
          <w:color w:val="000000"/>
          <w:sz w:val="22"/>
          <w:szCs w:val="22"/>
        </w:rPr>
        <w:t xml:space="preserve"> </w:t>
      </w:r>
      <w:r>
        <w:rPr>
          <w:rStyle w:val="Nadpis3Char"/>
          <w:b w:val="0"/>
          <w:color w:val="000000"/>
          <w:sz w:val="22"/>
          <w:szCs w:val="22"/>
        </w:rPr>
        <w:t xml:space="preserve">na rok 2013 ve výši 1.189 </w:t>
      </w:r>
      <w:r w:rsidR="005E1108">
        <w:rPr>
          <w:rStyle w:val="Nadpis3Char"/>
          <w:b w:val="0"/>
          <w:color w:val="000000"/>
          <w:sz w:val="22"/>
          <w:szCs w:val="22"/>
        </w:rPr>
        <w:t>tis. Kč</w:t>
      </w:r>
      <w:r>
        <w:rPr>
          <w:rStyle w:val="Nadpis3Char"/>
          <w:b w:val="0"/>
          <w:color w:val="000000"/>
          <w:sz w:val="22"/>
          <w:szCs w:val="22"/>
        </w:rPr>
        <w:t xml:space="preserve"> byl v průběhu roku navýšen na 16.171,3 </w:t>
      </w:r>
      <w:r w:rsidR="005E1108">
        <w:rPr>
          <w:rStyle w:val="Nadpis3Char"/>
          <w:b w:val="0"/>
          <w:color w:val="000000"/>
          <w:sz w:val="22"/>
          <w:szCs w:val="22"/>
        </w:rPr>
        <w:t>tis. Kč</w:t>
      </w:r>
      <w:r>
        <w:rPr>
          <w:rStyle w:val="Nadpis3Char"/>
          <w:b w:val="0"/>
          <w:color w:val="000000"/>
          <w:sz w:val="22"/>
          <w:szCs w:val="22"/>
        </w:rPr>
        <w:t>.</w:t>
      </w:r>
    </w:p>
    <w:p w:rsidR="00B82CFD" w:rsidRDefault="00AC546B" w:rsidP="00B82CFD">
      <w:pPr>
        <w:jc w:val="both"/>
        <w:rPr>
          <w:color w:val="000000"/>
          <w:sz w:val="22"/>
          <w:szCs w:val="22"/>
        </w:rPr>
      </w:pPr>
      <w:r>
        <w:rPr>
          <w:color w:val="000000"/>
          <w:sz w:val="22"/>
          <w:szCs w:val="22"/>
        </w:rPr>
        <w:t>Tyto finanční prostředky byly čerpány v celkové výši 15.994,</w:t>
      </w:r>
      <w:r w:rsidR="00F6254C">
        <w:rPr>
          <w:color w:val="000000"/>
          <w:sz w:val="22"/>
          <w:szCs w:val="22"/>
        </w:rPr>
        <w:t>3</w:t>
      </w:r>
      <w:r>
        <w:rPr>
          <w:color w:val="000000"/>
          <w:sz w:val="22"/>
          <w:szCs w:val="22"/>
        </w:rPr>
        <w:t xml:space="preserve"> </w:t>
      </w:r>
      <w:r w:rsidR="005E1108">
        <w:rPr>
          <w:color w:val="000000"/>
          <w:sz w:val="22"/>
          <w:szCs w:val="22"/>
        </w:rPr>
        <w:t>tis. Kč</w:t>
      </w:r>
      <w:r>
        <w:rPr>
          <w:color w:val="000000"/>
          <w:sz w:val="22"/>
          <w:szCs w:val="22"/>
        </w:rPr>
        <w:t>.</w:t>
      </w:r>
      <w:r w:rsidR="00D95BEC">
        <w:rPr>
          <w:color w:val="000000"/>
          <w:sz w:val="22"/>
          <w:szCs w:val="22"/>
        </w:rPr>
        <w:t xml:space="preserve"> </w:t>
      </w:r>
      <w:r w:rsidR="009B0B1A">
        <w:rPr>
          <w:color w:val="000000"/>
          <w:sz w:val="22"/>
          <w:szCs w:val="22"/>
        </w:rPr>
        <w:t>Výrazné navýšení objemu v</w:t>
      </w:r>
      <w:r w:rsidR="009B0B1A">
        <w:rPr>
          <w:color w:val="000000"/>
          <w:sz w:val="22"/>
          <w:szCs w:val="22"/>
        </w:rPr>
        <w:t>ý</w:t>
      </w:r>
      <w:r w:rsidR="009B0B1A">
        <w:rPr>
          <w:color w:val="000000"/>
          <w:sz w:val="22"/>
          <w:szCs w:val="22"/>
        </w:rPr>
        <w:t>dajů kapitoly je v důsledku červnových povodní, kdy na odstraňování povodňových škod byly určeny podkapitoly rozpočtu 0741 a 0738.</w:t>
      </w:r>
      <w:r w:rsidR="00964A8C">
        <w:rPr>
          <w:color w:val="000000"/>
          <w:sz w:val="22"/>
          <w:szCs w:val="22"/>
        </w:rPr>
        <w:t xml:space="preserve"> </w:t>
      </w:r>
      <w:r w:rsidR="00D95BEC">
        <w:rPr>
          <w:color w:val="000000"/>
          <w:sz w:val="22"/>
          <w:szCs w:val="22"/>
        </w:rPr>
        <w:t>Na celkovém objemu realizovaných výdajů se podílí čerpání kap</w:t>
      </w:r>
      <w:r w:rsidR="00D95BEC">
        <w:rPr>
          <w:color w:val="000000"/>
          <w:sz w:val="22"/>
          <w:szCs w:val="22"/>
        </w:rPr>
        <w:t>i</w:t>
      </w:r>
      <w:r w:rsidR="00D95BEC">
        <w:rPr>
          <w:color w:val="000000"/>
          <w:sz w:val="22"/>
          <w:szCs w:val="22"/>
        </w:rPr>
        <w:t>toly 2,3 %.</w:t>
      </w:r>
    </w:p>
    <w:p w:rsidR="00B82CFD" w:rsidRDefault="00B82CFD" w:rsidP="00B82CFD">
      <w:pPr>
        <w:tabs>
          <w:tab w:val="left" w:pos="708"/>
          <w:tab w:val="left" w:pos="1416"/>
          <w:tab w:val="left" w:pos="2124"/>
          <w:tab w:val="left" w:pos="7425"/>
        </w:tabs>
        <w:jc w:val="both"/>
        <w:rPr>
          <w:i/>
          <w:color w:val="000000"/>
          <w:sz w:val="22"/>
          <w:szCs w:val="22"/>
        </w:rPr>
      </w:pPr>
    </w:p>
    <w:p w:rsidR="00AC546B" w:rsidRDefault="009545C4" w:rsidP="00AC546B">
      <w:pPr>
        <w:tabs>
          <w:tab w:val="left" w:pos="708"/>
          <w:tab w:val="left" w:pos="1416"/>
          <w:tab w:val="left" w:pos="2124"/>
          <w:tab w:val="left" w:pos="7425"/>
        </w:tabs>
        <w:jc w:val="both"/>
        <w:rPr>
          <w:i/>
          <w:color w:val="000000"/>
          <w:sz w:val="22"/>
          <w:szCs w:val="22"/>
        </w:rPr>
      </w:pPr>
      <w:r>
        <w:rPr>
          <w:i/>
          <w:color w:val="000000"/>
          <w:sz w:val="22"/>
          <w:szCs w:val="22"/>
        </w:rPr>
        <w:t xml:space="preserve">Podkapitola 0741 Odbor správy veřejného prostranství </w:t>
      </w:r>
    </w:p>
    <w:p w:rsidR="009545C4" w:rsidRDefault="009545C4" w:rsidP="00AC546B">
      <w:pPr>
        <w:tabs>
          <w:tab w:val="left" w:pos="708"/>
          <w:tab w:val="left" w:pos="1416"/>
          <w:tab w:val="left" w:pos="2124"/>
          <w:tab w:val="left" w:pos="7425"/>
        </w:tabs>
        <w:jc w:val="both"/>
        <w:rPr>
          <w:color w:val="000000"/>
          <w:sz w:val="22"/>
          <w:szCs w:val="22"/>
        </w:rPr>
      </w:pPr>
      <w:r>
        <w:rPr>
          <w:color w:val="000000"/>
          <w:sz w:val="22"/>
          <w:szCs w:val="22"/>
        </w:rPr>
        <w:t xml:space="preserve">Neinvestiční výdaje ve výši 9.866 </w:t>
      </w:r>
      <w:r w:rsidR="005E1108">
        <w:rPr>
          <w:color w:val="000000"/>
          <w:sz w:val="22"/>
          <w:szCs w:val="22"/>
        </w:rPr>
        <w:t>tis. Kč</w:t>
      </w:r>
      <w:r>
        <w:rPr>
          <w:color w:val="000000"/>
          <w:sz w:val="22"/>
          <w:szCs w:val="22"/>
        </w:rPr>
        <w:t xml:space="preserve"> a investiční výdaje ve výši 2.343,8 </w:t>
      </w:r>
      <w:r w:rsidR="005E1108">
        <w:rPr>
          <w:color w:val="000000"/>
          <w:sz w:val="22"/>
          <w:szCs w:val="22"/>
        </w:rPr>
        <w:t>tis. Kč</w:t>
      </w:r>
      <w:r>
        <w:rPr>
          <w:color w:val="000000"/>
          <w:sz w:val="22"/>
          <w:szCs w:val="22"/>
        </w:rPr>
        <w:t xml:space="preserve"> byly čerpány na obnovu Dětského ostrova</w:t>
      </w:r>
      <w:r w:rsidR="005231DE">
        <w:rPr>
          <w:color w:val="000000"/>
          <w:sz w:val="22"/>
          <w:szCs w:val="22"/>
        </w:rPr>
        <w:t xml:space="preserve"> zdevastovaného povodní</w:t>
      </w:r>
      <w:r>
        <w:rPr>
          <w:color w:val="000000"/>
          <w:sz w:val="22"/>
          <w:szCs w:val="22"/>
        </w:rPr>
        <w:t>. Práce byly zahájeny</w:t>
      </w:r>
      <w:r w:rsidR="004E4EDE">
        <w:rPr>
          <w:color w:val="000000"/>
          <w:sz w:val="22"/>
          <w:szCs w:val="22"/>
        </w:rPr>
        <w:t xml:space="preserve"> a b</w:t>
      </w:r>
      <w:r>
        <w:rPr>
          <w:color w:val="000000"/>
          <w:sz w:val="22"/>
          <w:szCs w:val="22"/>
        </w:rPr>
        <w:t>yla provedena sanace a dekontaminace celého ostrova. Byla zpracována projektová dokumentace na provedení rekonstrukce všech zařízení. Realizace bude v roce 2014.</w:t>
      </w:r>
    </w:p>
    <w:p w:rsidR="009545C4" w:rsidRDefault="009545C4" w:rsidP="00AC546B">
      <w:pPr>
        <w:tabs>
          <w:tab w:val="left" w:pos="708"/>
          <w:tab w:val="left" w:pos="1416"/>
          <w:tab w:val="left" w:pos="2124"/>
          <w:tab w:val="left" w:pos="7425"/>
        </w:tabs>
        <w:jc w:val="both"/>
        <w:rPr>
          <w:color w:val="000000"/>
          <w:sz w:val="22"/>
          <w:szCs w:val="22"/>
        </w:rPr>
      </w:pPr>
    </w:p>
    <w:p w:rsidR="009545C4" w:rsidRPr="009545C4" w:rsidRDefault="009545C4" w:rsidP="00AC546B">
      <w:pPr>
        <w:tabs>
          <w:tab w:val="left" w:pos="708"/>
          <w:tab w:val="left" w:pos="1416"/>
          <w:tab w:val="left" w:pos="2124"/>
          <w:tab w:val="left" w:pos="7425"/>
        </w:tabs>
        <w:jc w:val="both"/>
        <w:rPr>
          <w:i/>
          <w:color w:val="000000"/>
          <w:sz w:val="22"/>
          <w:szCs w:val="22"/>
        </w:rPr>
      </w:pPr>
      <w:r w:rsidRPr="009545C4">
        <w:rPr>
          <w:i/>
          <w:color w:val="000000"/>
          <w:sz w:val="22"/>
          <w:szCs w:val="22"/>
        </w:rPr>
        <w:t>V podkapitole 0738 Odbor servisních služeb</w:t>
      </w:r>
    </w:p>
    <w:p w:rsidR="007823EF" w:rsidRDefault="009545C4" w:rsidP="00AC546B">
      <w:pPr>
        <w:tabs>
          <w:tab w:val="left" w:pos="708"/>
          <w:tab w:val="left" w:pos="1416"/>
          <w:tab w:val="left" w:pos="2124"/>
          <w:tab w:val="left" w:pos="7425"/>
        </w:tabs>
        <w:jc w:val="both"/>
        <w:rPr>
          <w:color w:val="000000"/>
          <w:sz w:val="22"/>
          <w:szCs w:val="22"/>
        </w:rPr>
      </w:pPr>
      <w:r>
        <w:rPr>
          <w:color w:val="000000"/>
          <w:sz w:val="22"/>
          <w:szCs w:val="22"/>
        </w:rPr>
        <w:t xml:space="preserve">byly poskytnuty dary ve výši 2.000 </w:t>
      </w:r>
      <w:r w:rsidR="005E1108">
        <w:rPr>
          <w:color w:val="000000"/>
          <w:sz w:val="22"/>
          <w:szCs w:val="22"/>
        </w:rPr>
        <w:t>tis. Kč</w:t>
      </w:r>
      <w:r>
        <w:rPr>
          <w:color w:val="000000"/>
          <w:sz w:val="22"/>
          <w:szCs w:val="22"/>
        </w:rPr>
        <w:t xml:space="preserve"> občanským sdružením a podnikatelským subjektům sídl</w:t>
      </w:r>
      <w:r>
        <w:rPr>
          <w:color w:val="000000"/>
          <w:sz w:val="22"/>
          <w:szCs w:val="22"/>
        </w:rPr>
        <w:t>í</w:t>
      </w:r>
      <w:r>
        <w:rPr>
          <w:color w:val="000000"/>
          <w:sz w:val="22"/>
          <w:szCs w:val="22"/>
        </w:rPr>
        <w:t xml:space="preserve">cím na území </w:t>
      </w:r>
      <w:r w:rsidR="005231DE">
        <w:rPr>
          <w:color w:val="000000"/>
          <w:sz w:val="22"/>
          <w:szCs w:val="22"/>
        </w:rPr>
        <w:t xml:space="preserve">městské části </w:t>
      </w:r>
      <w:r>
        <w:rPr>
          <w:color w:val="000000"/>
          <w:sz w:val="22"/>
          <w:szCs w:val="22"/>
        </w:rPr>
        <w:t xml:space="preserve">nebo provozujícím činnost na Císařské louce </w:t>
      </w:r>
      <w:r w:rsidR="00681B27">
        <w:rPr>
          <w:color w:val="000000"/>
          <w:sz w:val="22"/>
          <w:szCs w:val="22"/>
        </w:rPr>
        <w:t>nebo v těsné blízkosti Vlt</w:t>
      </w:r>
      <w:r w:rsidR="00681B27">
        <w:rPr>
          <w:color w:val="000000"/>
          <w:sz w:val="22"/>
          <w:szCs w:val="22"/>
        </w:rPr>
        <w:t>a</w:t>
      </w:r>
      <w:r w:rsidR="00681B27">
        <w:rPr>
          <w:color w:val="000000"/>
          <w:sz w:val="22"/>
          <w:szCs w:val="22"/>
        </w:rPr>
        <w:t>vy, jejichž objekty byly povodní zasaženy.</w:t>
      </w:r>
    </w:p>
    <w:p w:rsidR="00D01F0B" w:rsidRDefault="00D01F0B" w:rsidP="00AC546B">
      <w:pPr>
        <w:tabs>
          <w:tab w:val="left" w:pos="708"/>
          <w:tab w:val="left" w:pos="1416"/>
          <w:tab w:val="left" w:pos="2124"/>
          <w:tab w:val="left" w:pos="7425"/>
        </w:tabs>
        <w:jc w:val="both"/>
        <w:rPr>
          <w:color w:val="000000"/>
          <w:sz w:val="22"/>
          <w:szCs w:val="22"/>
        </w:rPr>
      </w:pPr>
    </w:p>
    <w:p w:rsidR="00A54F14" w:rsidRDefault="00A54F14" w:rsidP="00AC546B">
      <w:pPr>
        <w:tabs>
          <w:tab w:val="left" w:pos="708"/>
          <w:tab w:val="left" w:pos="1416"/>
          <w:tab w:val="left" w:pos="2124"/>
          <w:tab w:val="left" w:pos="7425"/>
        </w:tabs>
        <w:jc w:val="both"/>
        <w:rPr>
          <w:i/>
          <w:color w:val="000000"/>
          <w:sz w:val="22"/>
          <w:szCs w:val="22"/>
        </w:rPr>
      </w:pPr>
      <w:r>
        <w:rPr>
          <w:i/>
          <w:color w:val="000000"/>
          <w:sz w:val="22"/>
          <w:szCs w:val="22"/>
        </w:rPr>
        <w:t> </w:t>
      </w:r>
      <w:r w:rsidR="00C11064">
        <w:rPr>
          <w:i/>
          <w:color w:val="000000"/>
          <w:sz w:val="22"/>
          <w:szCs w:val="22"/>
        </w:rPr>
        <w:t>P</w:t>
      </w:r>
      <w:r>
        <w:rPr>
          <w:i/>
          <w:color w:val="000000"/>
          <w:sz w:val="22"/>
          <w:szCs w:val="22"/>
        </w:rPr>
        <w:t>odkapitol</w:t>
      </w:r>
      <w:r w:rsidR="00D21811">
        <w:rPr>
          <w:i/>
          <w:color w:val="000000"/>
          <w:sz w:val="22"/>
          <w:szCs w:val="22"/>
        </w:rPr>
        <w:t>a</w:t>
      </w:r>
      <w:r>
        <w:rPr>
          <w:i/>
          <w:color w:val="000000"/>
          <w:sz w:val="22"/>
          <w:szCs w:val="22"/>
        </w:rPr>
        <w:t xml:space="preserve"> 0739 Odbor sociální problematiky a prevence kriminality</w:t>
      </w:r>
    </w:p>
    <w:p w:rsidR="00A54F14" w:rsidRPr="00A54F14" w:rsidRDefault="00A54F14" w:rsidP="00AC546B">
      <w:pPr>
        <w:tabs>
          <w:tab w:val="left" w:pos="708"/>
          <w:tab w:val="left" w:pos="1416"/>
          <w:tab w:val="left" w:pos="2124"/>
          <w:tab w:val="left" w:pos="7425"/>
        </w:tabs>
        <w:jc w:val="both"/>
        <w:rPr>
          <w:color w:val="000000"/>
          <w:sz w:val="22"/>
          <w:szCs w:val="22"/>
        </w:rPr>
      </w:pPr>
      <w:r>
        <w:rPr>
          <w:color w:val="000000"/>
          <w:sz w:val="22"/>
          <w:szCs w:val="22"/>
        </w:rPr>
        <w:t>Podstatnou část finančních prostředků podkapitoly jsme poskytli bezpečnostním sborům k nákupu techniky či potřebného vybavení. Pro policii ČR bylo určeno 184.854</w:t>
      </w:r>
      <w:r w:rsidR="005E1108">
        <w:rPr>
          <w:color w:val="000000"/>
          <w:sz w:val="22"/>
          <w:szCs w:val="22"/>
        </w:rPr>
        <w:t> Kč</w:t>
      </w:r>
      <w:r>
        <w:rPr>
          <w:color w:val="000000"/>
          <w:sz w:val="22"/>
          <w:szCs w:val="22"/>
        </w:rPr>
        <w:t>, pro městskou policii 187.035</w:t>
      </w:r>
      <w:r w:rsidR="005E1108">
        <w:rPr>
          <w:color w:val="000000"/>
          <w:sz w:val="22"/>
          <w:szCs w:val="22"/>
        </w:rPr>
        <w:t> Kč</w:t>
      </w:r>
      <w:r>
        <w:rPr>
          <w:color w:val="000000"/>
          <w:sz w:val="22"/>
          <w:szCs w:val="22"/>
        </w:rPr>
        <w:t xml:space="preserve"> a pro hasičský záchranný sbor jsme nakoupili zařízení za 19.740</w:t>
      </w:r>
      <w:r w:rsidR="005E1108">
        <w:rPr>
          <w:color w:val="000000"/>
          <w:sz w:val="22"/>
          <w:szCs w:val="22"/>
        </w:rPr>
        <w:t> Kč</w:t>
      </w:r>
      <w:r>
        <w:rPr>
          <w:color w:val="000000"/>
          <w:sz w:val="22"/>
          <w:szCs w:val="22"/>
        </w:rPr>
        <w:t>. Podpořený menšími částkami byly akce „Košířský košík“, sportovní den v </w:t>
      </w:r>
      <w:r w:rsidR="005231DE">
        <w:rPr>
          <w:color w:val="000000"/>
          <w:sz w:val="22"/>
          <w:szCs w:val="22"/>
        </w:rPr>
        <w:t>aquaparku</w:t>
      </w:r>
      <w:r>
        <w:rPr>
          <w:color w:val="000000"/>
          <w:sz w:val="22"/>
          <w:szCs w:val="22"/>
        </w:rPr>
        <w:t xml:space="preserve"> a „Memoriál ppor. Michala Braniše“. Frenštátu pod Radhoštěm byl poskytnut dar 50 </w:t>
      </w:r>
      <w:r w:rsidR="005E1108">
        <w:rPr>
          <w:color w:val="000000"/>
          <w:sz w:val="22"/>
          <w:szCs w:val="22"/>
        </w:rPr>
        <w:t>tis. Kč</w:t>
      </w:r>
      <w:r>
        <w:rPr>
          <w:color w:val="000000"/>
          <w:sz w:val="22"/>
          <w:szCs w:val="22"/>
        </w:rPr>
        <w:t xml:space="preserve"> v souvislosti s výbuchem plynu v panelovém domě.</w:t>
      </w:r>
    </w:p>
    <w:p w:rsidR="00AC546B" w:rsidRDefault="00AC546B" w:rsidP="00AC546B">
      <w:pPr>
        <w:tabs>
          <w:tab w:val="left" w:pos="708"/>
          <w:tab w:val="left" w:pos="1416"/>
          <w:tab w:val="left" w:pos="2124"/>
          <w:tab w:val="left" w:pos="7425"/>
        </w:tabs>
        <w:jc w:val="both"/>
        <w:rPr>
          <w:rStyle w:val="Nadpis3Char"/>
          <w:b w:val="0"/>
          <w:bCs w:val="0"/>
          <w:sz w:val="22"/>
          <w:szCs w:val="22"/>
        </w:rPr>
      </w:pPr>
    </w:p>
    <w:p w:rsidR="00AC546B" w:rsidRPr="00626E3F" w:rsidRDefault="00D62D16" w:rsidP="00626E3F">
      <w:pPr>
        <w:pStyle w:val="Nadpis5"/>
        <w:rPr>
          <w:rStyle w:val="Nadpis3Char"/>
          <w:b/>
          <w:color w:val="000000"/>
          <w:sz w:val="22"/>
          <w:szCs w:val="22"/>
        </w:rPr>
      </w:pPr>
      <w:r>
        <w:rPr>
          <w:rStyle w:val="Nadpis3Char"/>
          <w:color w:val="000000"/>
          <w:sz w:val="22"/>
          <w:szCs w:val="22"/>
        </w:rPr>
        <w:br w:type="page"/>
      </w:r>
      <w:bookmarkStart w:id="26" w:name="_Toc385875211"/>
      <w:r w:rsidR="004A0F1C" w:rsidRPr="00626E3F">
        <w:rPr>
          <w:rStyle w:val="Nadpis3Char"/>
          <w:b/>
          <w:color w:val="000000"/>
          <w:sz w:val="22"/>
          <w:szCs w:val="22"/>
        </w:rPr>
        <w:lastRenderedPageBreak/>
        <w:t>Kapitola</w:t>
      </w:r>
      <w:r w:rsidR="00C422DC" w:rsidRPr="00626E3F">
        <w:rPr>
          <w:rStyle w:val="Nadpis3Char"/>
          <w:b/>
          <w:color w:val="000000"/>
          <w:sz w:val="22"/>
          <w:szCs w:val="22"/>
        </w:rPr>
        <w:t xml:space="preserve"> 08</w:t>
      </w:r>
      <w:r w:rsidR="00C422DC" w:rsidRPr="00626E3F">
        <w:rPr>
          <w:rStyle w:val="Nadpis3Char"/>
          <w:b/>
          <w:color w:val="000000"/>
          <w:sz w:val="22"/>
          <w:szCs w:val="22"/>
        </w:rPr>
        <w:tab/>
      </w:r>
      <w:r w:rsidR="00AC546B" w:rsidRPr="00626E3F">
        <w:rPr>
          <w:rStyle w:val="Nadpis3Char"/>
          <w:b/>
          <w:color w:val="000000"/>
          <w:sz w:val="22"/>
          <w:szCs w:val="22"/>
        </w:rPr>
        <w:t>B</w:t>
      </w:r>
      <w:r w:rsidR="00C422DC" w:rsidRPr="00626E3F">
        <w:rPr>
          <w:rStyle w:val="Nadpis3Char"/>
          <w:b/>
          <w:color w:val="000000"/>
          <w:sz w:val="22"/>
          <w:szCs w:val="22"/>
        </w:rPr>
        <w:t>ytové hospodářství</w:t>
      </w:r>
      <w:bookmarkEnd w:id="26"/>
    </w:p>
    <w:p w:rsidR="008466FA" w:rsidRDefault="008466FA" w:rsidP="002E1B06">
      <w:pPr>
        <w:jc w:val="both"/>
        <w:rPr>
          <w:rStyle w:val="Nadpis3Char"/>
          <w:b w:val="0"/>
          <w:color w:val="000000"/>
          <w:sz w:val="22"/>
          <w:szCs w:val="22"/>
        </w:rPr>
      </w:pPr>
    </w:p>
    <w:p w:rsidR="002E1B06" w:rsidRDefault="00AC546B" w:rsidP="00B82CFD">
      <w:pPr>
        <w:jc w:val="both"/>
        <w:rPr>
          <w:color w:val="000000"/>
          <w:sz w:val="22"/>
          <w:szCs w:val="22"/>
        </w:rPr>
      </w:pPr>
      <w:r>
        <w:rPr>
          <w:rStyle w:val="Nadpis3Char"/>
          <w:b w:val="0"/>
          <w:color w:val="000000"/>
          <w:sz w:val="22"/>
          <w:szCs w:val="22"/>
        </w:rPr>
        <w:t>Schválený rozpočet</w:t>
      </w:r>
      <w:r w:rsidR="00AA76C9">
        <w:rPr>
          <w:rStyle w:val="Nadpis3Char"/>
          <w:b w:val="0"/>
          <w:color w:val="000000"/>
          <w:sz w:val="22"/>
          <w:szCs w:val="22"/>
        </w:rPr>
        <w:t xml:space="preserve"> </w:t>
      </w:r>
      <w:r w:rsidR="00D01F0B">
        <w:rPr>
          <w:rStyle w:val="Nadpis3Char"/>
          <w:b w:val="0"/>
          <w:color w:val="000000"/>
          <w:sz w:val="22"/>
          <w:szCs w:val="22"/>
        </w:rPr>
        <w:t>na rok 2013 ve výši 27.597,2 </w:t>
      </w:r>
      <w:r w:rsidR="005E1108">
        <w:rPr>
          <w:rStyle w:val="Nadpis3Char"/>
          <w:b w:val="0"/>
          <w:color w:val="000000"/>
          <w:sz w:val="22"/>
          <w:szCs w:val="22"/>
        </w:rPr>
        <w:t>tis. Kč</w:t>
      </w:r>
      <w:r>
        <w:rPr>
          <w:rStyle w:val="Nadpis3Char"/>
          <w:b w:val="0"/>
          <w:color w:val="000000"/>
          <w:sz w:val="22"/>
          <w:szCs w:val="22"/>
        </w:rPr>
        <w:t xml:space="preserve"> byl v průběhu roku upraven na 15.325,2 </w:t>
      </w:r>
      <w:r w:rsidR="005E1108">
        <w:rPr>
          <w:rStyle w:val="Nadpis3Char"/>
          <w:b w:val="0"/>
          <w:color w:val="000000"/>
          <w:sz w:val="22"/>
          <w:szCs w:val="22"/>
        </w:rPr>
        <w:t>tis. Kč</w:t>
      </w:r>
      <w:r>
        <w:rPr>
          <w:rStyle w:val="Nadpis3Char"/>
          <w:b w:val="0"/>
          <w:color w:val="000000"/>
          <w:sz w:val="22"/>
          <w:szCs w:val="22"/>
        </w:rPr>
        <w:t>, celkem bylo vyčerpáno 12.716,2 tis</w:t>
      </w:r>
      <w:r w:rsidR="005E1108">
        <w:rPr>
          <w:rStyle w:val="Nadpis3Char"/>
          <w:b w:val="0"/>
          <w:color w:val="000000"/>
          <w:sz w:val="22"/>
          <w:szCs w:val="22"/>
        </w:rPr>
        <w:t> Kč</w:t>
      </w:r>
      <w:r>
        <w:rPr>
          <w:rStyle w:val="Nadpis3Char"/>
          <w:b w:val="0"/>
          <w:color w:val="000000"/>
          <w:sz w:val="22"/>
          <w:szCs w:val="22"/>
        </w:rPr>
        <w:t>.</w:t>
      </w:r>
      <w:r w:rsidR="002E1B06" w:rsidRPr="002E1B06">
        <w:rPr>
          <w:color w:val="000000"/>
          <w:sz w:val="22"/>
          <w:szCs w:val="22"/>
        </w:rPr>
        <w:t xml:space="preserve"> </w:t>
      </w:r>
      <w:r w:rsidR="002E1B06">
        <w:rPr>
          <w:color w:val="000000"/>
          <w:sz w:val="22"/>
          <w:szCs w:val="22"/>
        </w:rPr>
        <w:t>Procentní podíl na celkovém objemu realiz</w:t>
      </w:r>
      <w:r w:rsidR="002E1B06">
        <w:rPr>
          <w:color w:val="000000"/>
          <w:sz w:val="22"/>
          <w:szCs w:val="22"/>
        </w:rPr>
        <w:t>o</w:t>
      </w:r>
      <w:r w:rsidR="002E1B06">
        <w:rPr>
          <w:color w:val="000000"/>
          <w:sz w:val="22"/>
          <w:szCs w:val="22"/>
        </w:rPr>
        <w:t>vaných výdajů je 1,9 %.</w:t>
      </w:r>
    </w:p>
    <w:p w:rsidR="00964A8C" w:rsidRDefault="00964A8C" w:rsidP="00B82CFD">
      <w:pPr>
        <w:jc w:val="both"/>
        <w:rPr>
          <w:i/>
          <w:color w:val="000000"/>
          <w:sz w:val="22"/>
          <w:szCs w:val="22"/>
        </w:rPr>
      </w:pPr>
      <w:r>
        <w:rPr>
          <w:color w:val="000000"/>
          <w:sz w:val="22"/>
          <w:szCs w:val="22"/>
        </w:rPr>
        <w:t xml:space="preserve">V podkapitole 0839 se promítají výdaje na úhradu nákladů spojených se sociálními pohřby. Upravený rozpočet 220 tis. Kč byl čerpán ve výši 215 </w:t>
      </w:r>
      <w:proofErr w:type="gramStart"/>
      <w:r>
        <w:rPr>
          <w:color w:val="000000"/>
          <w:sz w:val="22"/>
          <w:szCs w:val="22"/>
        </w:rPr>
        <w:t>tis.Kč</w:t>
      </w:r>
      <w:proofErr w:type="gramEnd"/>
      <w:r>
        <w:rPr>
          <w:color w:val="000000"/>
          <w:sz w:val="22"/>
          <w:szCs w:val="22"/>
        </w:rPr>
        <w:t>.</w:t>
      </w:r>
    </w:p>
    <w:p w:rsidR="00AC546B" w:rsidRDefault="00AC546B" w:rsidP="00AC546B">
      <w:pPr>
        <w:jc w:val="both"/>
        <w:rPr>
          <w:color w:val="000000"/>
          <w:sz w:val="22"/>
          <w:szCs w:val="22"/>
        </w:rPr>
      </w:pPr>
    </w:p>
    <w:p w:rsidR="00C11064" w:rsidRDefault="00C11064" w:rsidP="00AC546B">
      <w:pPr>
        <w:jc w:val="both"/>
        <w:rPr>
          <w:i/>
          <w:color w:val="000000"/>
          <w:sz w:val="22"/>
          <w:szCs w:val="22"/>
        </w:rPr>
      </w:pPr>
      <w:r>
        <w:rPr>
          <w:i/>
          <w:color w:val="000000"/>
          <w:sz w:val="22"/>
          <w:szCs w:val="22"/>
        </w:rPr>
        <w:t>Podkapitola 0851 Odbor investic</w:t>
      </w:r>
    </w:p>
    <w:p w:rsidR="00C11064" w:rsidRDefault="00C11064" w:rsidP="00AC546B">
      <w:pPr>
        <w:jc w:val="both"/>
        <w:rPr>
          <w:color w:val="000000"/>
          <w:sz w:val="22"/>
          <w:szCs w:val="22"/>
        </w:rPr>
      </w:pPr>
      <w:r>
        <w:rPr>
          <w:color w:val="000000"/>
          <w:sz w:val="22"/>
          <w:szCs w:val="22"/>
        </w:rPr>
        <w:t xml:space="preserve">V podkapitole byly realizovány investiční výdaje v objemu 4.717,5 </w:t>
      </w:r>
      <w:r w:rsidR="005E1108">
        <w:rPr>
          <w:color w:val="000000"/>
          <w:sz w:val="22"/>
          <w:szCs w:val="22"/>
        </w:rPr>
        <w:t>tis. Kč</w:t>
      </w:r>
      <w:r>
        <w:rPr>
          <w:color w:val="000000"/>
          <w:sz w:val="22"/>
          <w:szCs w:val="22"/>
        </w:rPr>
        <w:t xml:space="preserve">. Byla vyhotovena variantní studie výstavby malometrážních bytů ve vybraných lokalitách městské části (1.172,5 </w:t>
      </w:r>
      <w:r w:rsidR="005E1108">
        <w:rPr>
          <w:color w:val="000000"/>
          <w:sz w:val="22"/>
          <w:szCs w:val="22"/>
        </w:rPr>
        <w:t>tis. Kč</w:t>
      </w:r>
      <w:r>
        <w:rPr>
          <w:color w:val="000000"/>
          <w:sz w:val="22"/>
          <w:szCs w:val="22"/>
        </w:rPr>
        <w:t>). Prov</w:t>
      </w:r>
      <w:r>
        <w:rPr>
          <w:color w:val="000000"/>
          <w:sz w:val="22"/>
          <w:szCs w:val="22"/>
        </w:rPr>
        <w:t>e</w:t>
      </w:r>
      <w:r>
        <w:rPr>
          <w:color w:val="000000"/>
          <w:sz w:val="22"/>
          <w:szCs w:val="22"/>
        </w:rPr>
        <w:t>deny byly další akce v našich objektech: osazení topných těles rozdělovači topných nákladů ul. K V</w:t>
      </w:r>
      <w:r>
        <w:rPr>
          <w:color w:val="000000"/>
          <w:sz w:val="22"/>
          <w:szCs w:val="22"/>
        </w:rPr>
        <w:t>o</w:t>
      </w:r>
      <w:r>
        <w:rPr>
          <w:color w:val="000000"/>
          <w:sz w:val="22"/>
          <w:szCs w:val="22"/>
        </w:rPr>
        <w:t xml:space="preserve">dojemu 201/3, K Vodojemu 202/5, Štefánikova 216/21, Stroupežnického </w:t>
      </w:r>
      <w:r w:rsidR="00A13FCA">
        <w:rPr>
          <w:color w:val="000000"/>
          <w:sz w:val="22"/>
          <w:szCs w:val="22"/>
        </w:rPr>
        <w:t xml:space="preserve">493/10 (697,1 </w:t>
      </w:r>
      <w:r w:rsidR="005E1108">
        <w:rPr>
          <w:color w:val="000000"/>
          <w:sz w:val="22"/>
          <w:szCs w:val="22"/>
        </w:rPr>
        <w:t>tis. Kč</w:t>
      </w:r>
      <w:r w:rsidR="00A13FCA">
        <w:rPr>
          <w:color w:val="000000"/>
          <w:sz w:val="22"/>
          <w:szCs w:val="22"/>
        </w:rPr>
        <w:t>), výd</w:t>
      </w:r>
      <w:r w:rsidR="00A13FCA">
        <w:rPr>
          <w:color w:val="000000"/>
          <w:sz w:val="22"/>
          <w:szCs w:val="22"/>
        </w:rPr>
        <w:t>a</w:t>
      </w:r>
      <w:r w:rsidR="00A13FCA">
        <w:rPr>
          <w:color w:val="000000"/>
          <w:sz w:val="22"/>
          <w:szCs w:val="22"/>
        </w:rPr>
        <w:t xml:space="preserve">je na průzkumy, studie a projekty (572 </w:t>
      </w:r>
      <w:r w:rsidR="005E1108">
        <w:rPr>
          <w:color w:val="000000"/>
          <w:sz w:val="22"/>
          <w:szCs w:val="22"/>
        </w:rPr>
        <w:t>tis. Kč</w:t>
      </w:r>
      <w:r w:rsidR="00A13FCA">
        <w:rPr>
          <w:color w:val="000000"/>
          <w:sz w:val="22"/>
          <w:szCs w:val="22"/>
        </w:rPr>
        <w:t xml:space="preserve">), úprava nebytového prostoru (829,9 </w:t>
      </w:r>
      <w:r w:rsidR="005E1108">
        <w:rPr>
          <w:color w:val="000000"/>
          <w:sz w:val="22"/>
          <w:szCs w:val="22"/>
        </w:rPr>
        <w:t>tis. Kč</w:t>
      </w:r>
      <w:r w:rsidR="00A13FCA">
        <w:rPr>
          <w:color w:val="000000"/>
          <w:sz w:val="22"/>
          <w:szCs w:val="22"/>
        </w:rPr>
        <w:t xml:space="preserve">), zastřešení vstupu u objektu poliklinika Krškova (1.357,1 </w:t>
      </w:r>
      <w:r w:rsidR="005E1108">
        <w:rPr>
          <w:color w:val="000000"/>
          <w:sz w:val="22"/>
          <w:szCs w:val="22"/>
        </w:rPr>
        <w:t>tis. Kč</w:t>
      </w:r>
      <w:r w:rsidR="00A13FCA">
        <w:rPr>
          <w:color w:val="000000"/>
          <w:sz w:val="22"/>
          <w:szCs w:val="22"/>
        </w:rPr>
        <w:t>).</w:t>
      </w:r>
    </w:p>
    <w:p w:rsidR="005054EF" w:rsidRDefault="005054EF" w:rsidP="00AC546B">
      <w:pPr>
        <w:jc w:val="both"/>
        <w:rPr>
          <w:color w:val="000000"/>
          <w:sz w:val="22"/>
          <w:szCs w:val="22"/>
        </w:rPr>
      </w:pPr>
    </w:p>
    <w:p w:rsidR="005054EF" w:rsidRDefault="005054EF" w:rsidP="00AC546B">
      <w:pPr>
        <w:jc w:val="both"/>
        <w:rPr>
          <w:i/>
          <w:color w:val="000000"/>
          <w:sz w:val="22"/>
          <w:szCs w:val="22"/>
        </w:rPr>
      </w:pPr>
      <w:r w:rsidRPr="005054EF">
        <w:rPr>
          <w:i/>
          <w:color w:val="000000"/>
          <w:sz w:val="22"/>
          <w:szCs w:val="22"/>
        </w:rPr>
        <w:t>Podkapitola 0843 Odbor bytů a privatizace</w:t>
      </w:r>
    </w:p>
    <w:p w:rsidR="00FC1B22" w:rsidRPr="00FC1B22" w:rsidRDefault="00FC1B22" w:rsidP="00AC546B">
      <w:pPr>
        <w:jc w:val="both"/>
        <w:rPr>
          <w:color w:val="000000"/>
          <w:sz w:val="22"/>
          <w:szCs w:val="22"/>
        </w:rPr>
      </w:pPr>
      <w:r>
        <w:rPr>
          <w:color w:val="000000"/>
          <w:sz w:val="22"/>
          <w:szCs w:val="22"/>
        </w:rPr>
        <w:t xml:space="preserve">Výdaje podkapitoly byly určeny na krytí výdajů souvisejících s dohodou o narovnání mezi městskou částí a nájemci bytů týkající se vložených investic do majetku MČ ve výši 2.787,6 </w:t>
      </w:r>
      <w:r w:rsidR="005E1108">
        <w:rPr>
          <w:color w:val="000000"/>
          <w:sz w:val="22"/>
          <w:szCs w:val="22"/>
        </w:rPr>
        <w:t>tis. Kč</w:t>
      </w:r>
      <w:r>
        <w:rPr>
          <w:color w:val="000000"/>
          <w:sz w:val="22"/>
          <w:szCs w:val="22"/>
        </w:rPr>
        <w:t xml:space="preserve"> v Nádražní ul. 761/52 a Plzeňské ul. 442/209. </w:t>
      </w:r>
    </w:p>
    <w:p w:rsidR="00C11064" w:rsidRDefault="00C11064" w:rsidP="00AC546B">
      <w:pPr>
        <w:jc w:val="both"/>
        <w:rPr>
          <w:color w:val="000000"/>
          <w:sz w:val="22"/>
          <w:szCs w:val="22"/>
        </w:rPr>
      </w:pPr>
    </w:p>
    <w:p w:rsidR="00FC1B22" w:rsidRDefault="00FC1B22" w:rsidP="00FC1B22">
      <w:pPr>
        <w:jc w:val="both"/>
        <w:rPr>
          <w:i/>
          <w:color w:val="000000"/>
          <w:sz w:val="22"/>
          <w:szCs w:val="22"/>
        </w:rPr>
      </w:pPr>
      <w:r w:rsidRPr="005054EF">
        <w:rPr>
          <w:i/>
          <w:color w:val="000000"/>
          <w:sz w:val="22"/>
          <w:szCs w:val="22"/>
        </w:rPr>
        <w:t>Podkapitola 08</w:t>
      </w:r>
      <w:r>
        <w:rPr>
          <w:i/>
          <w:color w:val="000000"/>
          <w:sz w:val="22"/>
          <w:szCs w:val="22"/>
        </w:rPr>
        <w:t>5</w:t>
      </w:r>
      <w:r w:rsidRPr="005054EF">
        <w:rPr>
          <w:i/>
          <w:color w:val="000000"/>
          <w:sz w:val="22"/>
          <w:szCs w:val="22"/>
        </w:rPr>
        <w:t xml:space="preserve">3 Odbor </w:t>
      </w:r>
      <w:r>
        <w:rPr>
          <w:i/>
          <w:color w:val="000000"/>
          <w:sz w:val="22"/>
          <w:szCs w:val="22"/>
        </w:rPr>
        <w:t>majetku</w:t>
      </w:r>
    </w:p>
    <w:p w:rsidR="00FC1B22" w:rsidRDefault="00FC1B22" w:rsidP="00FC1B22">
      <w:pPr>
        <w:jc w:val="both"/>
        <w:rPr>
          <w:color w:val="000000"/>
          <w:sz w:val="22"/>
          <w:szCs w:val="22"/>
        </w:rPr>
      </w:pPr>
      <w:r>
        <w:rPr>
          <w:color w:val="000000"/>
          <w:sz w:val="22"/>
          <w:szCs w:val="22"/>
        </w:rPr>
        <w:t>Ve výdajích odboru se největší částkou podílí odstranění železobetonové pergoly před FZŠ V Remí</w:t>
      </w:r>
      <w:r>
        <w:rPr>
          <w:color w:val="000000"/>
          <w:sz w:val="22"/>
          <w:szCs w:val="22"/>
        </w:rPr>
        <w:t>z</w:t>
      </w:r>
      <w:r>
        <w:rPr>
          <w:color w:val="000000"/>
          <w:sz w:val="22"/>
          <w:szCs w:val="22"/>
        </w:rPr>
        <w:t xml:space="preserve">ku (1.925 </w:t>
      </w:r>
      <w:r w:rsidR="005E1108">
        <w:rPr>
          <w:color w:val="000000"/>
          <w:sz w:val="22"/>
          <w:szCs w:val="22"/>
        </w:rPr>
        <w:t>tis. Kč</w:t>
      </w:r>
      <w:r>
        <w:rPr>
          <w:color w:val="000000"/>
          <w:sz w:val="22"/>
          <w:szCs w:val="22"/>
        </w:rPr>
        <w:t xml:space="preserve">). Hrazeny byly výdaje související s areálem Buďánka </w:t>
      </w:r>
      <w:r w:rsidR="00C30EF6">
        <w:rPr>
          <w:color w:val="000000"/>
          <w:sz w:val="22"/>
          <w:szCs w:val="22"/>
        </w:rPr>
        <w:t xml:space="preserve">– dokumentace stávajícího stavu, statické posouzení (59,3 </w:t>
      </w:r>
      <w:r w:rsidR="005E1108">
        <w:rPr>
          <w:color w:val="000000"/>
          <w:sz w:val="22"/>
          <w:szCs w:val="22"/>
        </w:rPr>
        <w:t>tis. Kč</w:t>
      </w:r>
      <w:r w:rsidR="005231DE">
        <w:rPr>
          <w:color w:val="000000"/>
          <w:sz w:val="22"/>
          <w:szCs w:val="22"/>
        </w:rPr>
        <w:t>)</w:t>
      </w:r>
      <w:r w:rsidR="00C30EF6">
        <w:rPr>
          <w:color w:val="000000"/>
          <w:sz w:val="22"/>
          <w:szCs w:val="22"/>
        </w:rPr>
        <w:t xml:space="preserve">, oplocení a označení (13 </w:t>
      </w:r>
      <w:r w:rsidR="005E1108">
        <w:rPr>
          <w:color w:val="000000"/>
          <w:sz w:val="22"/>
          <w:szCs w:val="22"/>
        </w:rPr>
        <w:t>tis. Kč</w:t>
      </w:r>
      <w:r w:rsidR="00C30EF6">
        <w:rPr>
          <w:color w:val="000000"/>
          <w:sz w:val="22"/>
          <w:szCs w:val="22"/>
        </w:rPr>
        <w:t xml:space="preserve">) a údržba pozemku (90,8 </w:t>
      </w:r>
      <w:r w:rsidR="005E1108">
        <w:rPr>
          <w:color w:val="000000"/>
          <w:sz w:val="22"/>
          <w:szCs w:val="22"/>
        </w:rPr>
        <w:t>tis. Kč</w:t>
      </w:r>
      <w:r w:rsidR="00C30EF6">
        <w:rPr>
          <w:color w:val="000000"/>
          <w:sz w:val="22"/>
          <w:szCs w:val="22"/>
        </w:rPr>
        <w:t>).</w:t>
      </w:r>
    </w:p>
    <w:p w:rsidR="00C30EF6" w:rsidRPr="00FC1B22" w:rsidRDefault="00C30EF6" w:rsidP="00FC1B22">
      <w:pPr>
        <w:jc w:val="both"/>
        <w:rPr>
          <w:color w:val="000000"/>
          <w:sz w:val="22"/>
          <w:szCs w:val="22"/>
        </w:rPr>
      </w:pPr>
      <w:r>
        <w:rPr>
          <w:color w:val="000000"/>
          <w:sz w:val="22"/>
          <w:szCs w:val="22"/>
        </w:rPr>
        <w:t xml:space="preserve">Odbor zajišťoval rovněž redukční a bezpečnostní řezy stromů na teritoriu a správu objektů, kde není nájemce, např. Drtinova 3115/3a, Kobrova 6. Na právní služby pro odbor bylo vynaloženo 737 </w:t>
      </w:r>
      <w:r w:rsidR="005E1108">
        <w:rPr>
          <w:color w:val="000000"/>
          <w:sz w:val="22"/>
          <w:szCs w:val="22"/>
        </w:rPr>
        <w:t>tis. Kč</w:t>
      </w:r>
      <w:r>
        <w:rPr>
          <w:color w:val="000000"/>
          <w:sz w:val="22"/>
          <w:szCs w:val="22"/>
        </w:rPr>
        <w:t>, právní služby v souvislosti se založením akciové spol</w:t>
      </w:r>
      <w:r w:rsidR="003C1336">
        <w:rPr>
          <w:color w:val="000000"/>
          <w:sz w:val="22"/>
          <w:szCs w:val="22"/>
        </w:rPr>
        <w:t>ečnosti stály</w:t>
      </w:r>
      <w:r>
        <w:rPr>
          <w:color w:val="000000"/>
          <w:sz w:val="22"/>
          <w:szCs w:val="22"/>
        </w:rPr>
        <w:t xml:space="preserve"> 221 </w:t>
      </w:r>
      <w:r w:rsidR="005E1108">
        <w:rPr>
          <w:color w:val="000000"/>
          <w:sz w:val="22"/>
          <w:szCs w:val="22"/>
        </w:rPr>
        <w:t>tis. Kč</w:t>
      </w:r>
      <w:r>
        <w:rPr>
          <w:color w:val="000000"/>
          <w:sz w:val="22"/>
          <w:szCs w:val="22"/>
        </w:rPr>
        <w:t>.</w:t>
      </w:r>
    </w:p>
    <w:p w:rsidR="00C11064" w:rsidRDefault="00C11064" w:rsidP="00AC546B">
      <w:pPr>
        <w:jc w:val="both"/>
        <w:rPr>
          <w:color w:val="000000"/>
          <w:sz w:val="22"/>
          <w:szCs w:val="22"/>
        </w:rPr>
      </w:pPr>
    </w:p>
    <w:p w:rsidR="00D710BB" w:rsidRPr="002E1B06" w:rsidRDefault="004A0F1C" w:rsidP="003E450D">
      <w:pPr>
        <w:pStyle w:val="Nadpis5"/>
        <w:rPr>
          <w:color w:val="000000"/>
        </w:rPr>
      </w:pPr>
      <w:bookmarkStart w:id="27" w:name="_Toc385875212"/>
      <w:r>
        <w:t>Kapitola</w:t>
      </w:r>
      <w:r w:rsidR="00C422DC" w:rsidRPr="006B5F18">
        <w:t xml:space="preserve"> 09</w:t>
      </w:r>
      <w:r w:rsidR="00C422DC">
        <w:tab/>
      </w:r>
      <w:r w:rsidR="00D710BB" w:rsidRPr="006B5F18">
        <w:t>M</w:t>
      </w:r>
      <w:r w:rsidR="00C422DC">
        <w:t>ístní správa a zastupitelstva obcí</w:t>
      </w:r>
      <w:bookmarkEnd w:id="27"/>
    </w:p>
    <w:p w:rsidR="008466FA" w:rsidRDefault="008466FA" w:rsidP="00D710BB">
      <w:pPr>
        <w:tabs>
          <w:tab w:val="left" w:pos="708"/>
          <w:tab w:val="left" w:pos="1416"/>
          <w:tab w:val="left" w:pos="2124"/>
          <w:tab w:val="left" w:pos="7425"/>
        </w:tabs>
        <w:jc w:val="both"/>
        <w:rPr>
          <w:sz w:val="22"/>
          <w:szCs w:val="22"/>
        </w:rPr>
      </w:pPr>
    </w:p>
    <w:p w:rsidR="00D12EA4" w:rsidRDefault="00D710BB" w:rsidP="00D710BB">
      <w:pPr>
        <w:tabs>
          <w:tab w:val="left" w:pos="708"/>
          <w:tab w:val="left" w:pos="1416"/>
          <w:tab w:val="left" w:pos="2124"/>
          <w:tab w:val="left" w:pos="7425"/>
        </w:tabs>
        <w:jc w:val="both"/>
        <w:rPr>
          <w:sz w:val="22"/>
          <w:szCs w:val="22"/>
        </w:rPr>
      </w:pPr>
      <w:r>
        <w:rPr>
          <w:sz w:val="22"/>
          <w:szCs w:val="22"/>
        </w:rPr>
        <w:t>Upravený rozpočet výdajů ve výši</w:t>
      </w:r>
      <w:r>
        <w:rPr>
          <w:sz w:val="22"/>
          <w:szCs w:val="22"/>
          <w:shd w:val="clear" w:color="auto" w:fill="FFFFFF"/>
        </w:rPr>
        <w:t xml:space="preserve"> 307.171 </w:t>
      </w:r>
      <w:r w:rsidR="005E1108">
        <w:rPr>
          <w:sz w:val="22"/>
          <w:szCs w:val="22"/>
          <w:shd w:val="clear" w:color="auto" w:fill="FFFFFF"/>
        </w:rPr>
        <w:t>tis. Kč</w:t>
      </w:r>
      <w:r>
        <w:rPr>
          <w:sz w:val="22"/>
          <w:szCs w:val="22"/>
        </w:rPr>
        <w:t xml:space="preserve"> byl čerpán částkou 267.237,2 </w:t>
      </w:r>
      <w:r w:rsidR="005E1108">
        <w:rPr>
          <w:sz w:val="22"/>
          <w:szCs w:val="22"/>
        </w:rPr>
        <w:t>tis. Kč</w:t>
      </w:r>
      <w:r>
        <w:rPr>
          <w:sz w:val="22"/>
          <w:szCs w:val="22"/>
        </w:rPr>
        <w:t>, tj.</w:t>
      </w:r>
      <w:r w:rsidR="003A3658">
        <w:rPr>
          <w:sz w:val="22"/>
          <w:szCs w:val="22"/>
        </w:rPr>
        <w:t xml:space="preserve"> </w:t>
      </w:r>
      <w:r w:rsidR="00A221F3">
        <w:rPr>
          <w:sz w:val="22"/>
          <w:szCs w:val="22"/>
        </w:rPr>
        <w:t>87</w:t>
      </w:r>
      <w:r w:rsidR="009B0B1A">
        <w:rPr>
          <w:sz w:val="22"/>
          <w:szCs w:val="22"/>
        </w:rPr>
        <w:t xml:space="preserve"> </w:t>
      </w:r>
      <w:r w:rsidR="00A221F3">
        <w:rPr>
          <w:sz w:val="22"/>
          <w:szCs w:val="22"/>
        </w:rPr>
        <w:t>%.</w:t>
      </w:r>
      <w:r w:rsidR="003C1336">
        <w:rPr>
          <w:sz w:val="22"/>
          <w:szCs w:val="22"/>
        </w:rPr>
        <w:t xml:space="preserve"> Z hlediska objemu je tato kapitola největší – tvoří 38.4 % výdajů městské části. Jsou zde soustředěny výdaje na provoz úřadu včetně mzdových prostředků</w:t>
      </w:r>
      <w:r w:rsidR="001D67C8">
        <w:rPr>
          <w:sz w:val="22"/>
          <w:szCs w:val="22"/>
        </w:rPr>
        <w:t>, oprav a nákupu majetku</w:t>
      </w:r>
      <w:r w:rsidR="003C1336">
        <w:rPr>
          <w:sz w:val="22"/>
          <w:szCs w:val="22"/>
        </w:rPr>
        <w:t xml:space="preserve"> a také na </w:t>
      </w:r>
      <w:r w:rsidR="001D67C8">
        <w:rPr>
          <w:sz w:val="22"/>
          <w:szCs w:val="22"/>
        </w:rPr>
        <w:t>činnost vol</w:t>
      </w:r>
      <w:r w:rsidR="001D67C8">
        <w:rPr>
          <w:sz w:val="22"/>
          <w:szCs w:val="22"/>
        </w:rPr>
        <w:t>e</w:t>
      </w:r>
      <w:r w:rsidR="001D67C8">
        <w:rPr>
          <w:sz w:val="22"/>
          <w:szCs w:val="22"/>
        </w:rPr>
        <w:t>ných orgánů městské části včetně jejich odměn.</w:t>
      </w:r>
    </w:p>
    <w:p w:rsidR="00117A49" w:rsidRDefault="00117A49" w:rsidP="00D710BB">
      <w:pPr>
        <w:tabs>
          <w:tab w:val="left" w:pos="708"/>
          <w:tab w:val="left" w:pos="1416"/>
          <w:tab w:val="left" w:pos="2124"/>
          <w:tab w:val="left" w:pos="7425"/>
        </w:tabs>
        <w:jc w:val="both"/>
        <w:rPr>
          <w:sz w:val="22"/>
          <w:szCs w:val="22"/>
        </w:rPr>
      </w:pPr>
    </w:p>
    <w:p w:rsidR="00D12EA4" w:rsidRPr="00985085" w:rsidRDefault="00D12EA4" w:rsidP="00D710BB">
      <w:pPr>
        <w:tabs>
          <w:tab w:val="left" w:pos="708"/>
          <w:tab w:val="left" w:pos="1416"/>
          <w:tab w:val="left" w:pos="2124"/>
          <w:tab w:val="left" w:pos="7425"/>
        </w:tabs>
        <w:jc w:val="both"/>
        <w:rPr>
          <w:i/>
          <w:sz w:val="22"/>
          <w:szCs w:val="22"/>
        </w:rPr>
      </w:pPr>
      <w:r w:rsidRPr="00985085">
        <w:rPr>
          <w:i/>
          <w:sz w:val="22"/>
          <w:szCs w:val="22"/>
        </w:rPr>
        <w:t xml:space="preserve">Podkapitola 0912 Odbor vnitřní správy </w:t>
      </w:r>
    </w:p>
    <w:p w:rsidR="00D710BB" w:rsidRDefault="00D710BB" w:rsidP="00D710BB">
      <w:pPr>
        <w:tabs>
          <w:tab w:val="left" w:pos="708"/>
          <w:tab w:val="left" w:pos="1416"/>
          <w:tab w:val="left" w:pos="2124"/>
          <w:tab w:val="left" w:pos="7425"/>
        </w:tabs>
        <w:jc w:val="both"/>
        <w:rPr>
          <w:sz w:val="22"/>
          <w:szCs w:val="22"/>
        </w:rPr>
      </w:pPr>
      <w:r w:rsidRPr="000A7DF2">
        <w:rPr>
          <w:sz w:val="22"/>
          <w:szCs w:val="22"/>
        </w:rPr>
        <w:t xml:space="preserve">Na </w:t>
      </w:r>
      <w:r w:rsidR="0019366D">
        <w:rPr>
          <w:sz w:val="22"/>
          <w:szCs w:val="22"/>
        </w:rPr>
        <w:t xml:space="preserve">provozní </w:t>
      </w:r>
      <w:r w:rsidRPr="000A7DF2">
        <w:rPr>
          <w:sz w:val="22"/>
          <w:szCs w:val="22"/>
        </w:rPr>
        <w:t>výdaje spojené s</w:t>
      </w:r>
      <w:r>
        <w:rPr>
          <w:sz w:val="22"/>
          <w:szCs w:val="22"/>
        </w:rPr>
        <w:t> </w:t>
      </w:r>
      <w:r w:rsidRPr="000A7DF2">
        <w:rPr>
          <w:sz w:val="22"/>
          <w:szCs w:val="22"/>
        </w:rPr>
        <w:t>činností</w:t>
      </w:r>
      <w:r>
        <w:rPr>
          <w:sz w:val="22"/>
          <w:szCs w:val="22"/>
        </w:rPr>
        <w:t xml:space="preserve"> volených orgánů MČ, úřadu</w:t>
      </w:r>
      <w:r w:rsidR="00AA76C9">
        <w:rPr>
          <w:sz w:val="22"/>
          <w:szCs w:val="22"/>
        </w:rPr>
        <w:t xml:space="preserve"> </w:t>
      </w:r>
      <w:r w:rsidR="006C1F7F">
        <w:rPr>
          <w:sz w:val="22"/>
          <w:szCs w:val="22"/>
        </w:rPr>
        <w:t xml:space="preserve">a </w:t>
      </w:r>
      <w:r w:rsidR="00BD33FF">
        <w:rPr>
          <w:sz w:val="22"/>
          <w:szCs w:val="22"/>
        </w:rPr>
        <w:t>výdajů</w:t>
      </w:r>
      <w:r w:rsidR="006C1F7F">
        <w:rPr>
          <w:sz w:val="22"/>
          <w:szCs w:val="22"/>
        </w:rPr>
        <w:t xml:space="preserve"> </w:t>
      </w:r>
      <w:r>
        <w:rPr>
          <w:sz w:val="22"/>
          <w:szCs w:val="22"/>
        </w:rPr>
        <w:t>souvisejících s provozem</w:t>
      </w:r>
      <w:r w:rsidRPr="000A7DF2">
        <w:rPr>
          <w:sz w:val="22"/>
          <w:szCs w:val="22"/>
        </w:rPr>
        <w:t xml:space="preserve"> úředních budov byly čerpány finanční prostředky </w:t>
      </w:r>
      <w:r>
        <w:rPr>
          <w:sz w:val="22"/>
          <w:szCs w:val="22"/>
        </w:rPr>
        <w:t xml:space="preserve">ve výši 44.943 </w:t>
      </w:r>
      <w:r w:rsidR="005E1108">
        <w:rPr>
          <w:sz w:val="22"/>
          <w:szCs w:val="22"/>
        </w:rPr>
        <w:t>tis. Kč</w:t>
      </w:r>
      <w:r>
        <w:rPr>
          <w:sz w:val="22"/>
          <w:szCs w:val="22"/>
        </w:rPr>
        <w:t xml:space="preserve"> a to zejména na </w:t>
      </w:r>
      <w:r w:rsidR="00A221F3">
        <w:rPr>
          <w:sz w:val="22"/>
          <w:szCs w:val="22"/>
        </w:rPr>
        <w:t xml:space="preserve">nákup </w:t>
      </w:r>
      <w:r>
        <w:rPr>
          <w:sz w:val="22"/>
          <w:szCs w:val="22"/>
        </w:rPr>
        <w:t>služ</w:t>
      </w:r>
      <w:r w:rsidR="00A221F3">
        <w:rPr>
          <w:sz w:val="22"/>
          <w:szCs w:val="22"/>
        </w:rPr>
        <w:t>e</w:t>
      </w:r>
      <w:r>
        <w:rPr>
          <w:sz w:val="22"/>
          <w:szCs w:val="22"/>
        </w:rPr>
        <w:t>b (14.942,1</w:t>
      </w:r>
      <w:r w:rsidR="00AA76C9">
        <w:rPr>
          <w:sz w:val="22"/>
          <w:szCs w:val="22"/>
        </w:rPr>
        <w:t xml:space="preserve"> </w:t>
      </w:r>
      <w:r w:rsidR="005E1108">
        <w:rPr>
          <w:sz w:val="22"/>
          <w:szCs w:val="22"/>
        </w:rPr>
        <w:t>tis. Kč</w:t>
      </w:r>
      <w:r>
        <w:rPr>
          <w:sz w:val="22"/>
          <w:szCs w:val="22"/>
        </w:rPr>
        <w:t xml:space="preserve">), konzultační, poradenské a právní služby (8.965,7 </w:t>
      </w:r>
      <w:r w:rsidR="005E1108">
        <w:rPr>
          <w:sz w:val="22"/>
          <w:szCs w:val="22"/>
        </w:rPr>
        <w:t>tis. Kč</w:t>
      </w:r>
      <w:r>
        <w:rPr>
          <w:sz w:val="22"/>
          <w:szCs w:val="22"/>
        </w:rPr>
        <w:t>), služby pošt a telekom</w:t>
      </w:r>
      <w:r>
        <w:rPr>
          <w:sz w:val="22"/>
          <w:szCs w:val="22"/>
        </w:rPr>
        <w:t>u</w:t>
      </w:r>
      <w:r>
        <w:rPr>
          <w:sz w:val="22"/>
          <w:szCs w:val="22"/>
        </w:rPr>
        <w:t>nikací (1.859,5</w:t>
      </w:r>
      <w:r w:rsidR="00AA76C9">
        <w:rPr>
          <w:sz w:val="22"/>
          <w:szCs w:val="22"/>
        </w:rPr>
        <w:t xml:space="preserve"> </w:t>
      </w:r>
      <w:r w:rsidR="005E1108">
        <w:rPr>
          <w:sz w:val="22"/>
          <w:szCs w:val="22"/>
        </w:rPr>
        <w:t>tis. Kč</w:t>
      </w:r>
      <w:r>
        <w:rPr>
          <w:sz w:val="22"/>
          <w:szCs w:val="22"/>
        </w:rPr>
        <w:t>), opravy a udržování (1.905,7</w:t>
      </w:r>
      <w:r w:rsidR="00AA76C9">
        <w:rPr>
          <w:sz w:val="22"/>
          <w:szCs w:val="22"/>
        </w:rPr>
        <w:t xml:space="preserve"> </w:t>
      </w:r>
      <w:r w:rsidR="005E1108">
        <w:rPr>
          <w:sz w:val="22"/>
          <w:szCs w:val="22"/>
        </w:rPr>
        <w:t>tis. Kč</w:t>
      </w:r>
      <w:r>
        <w:rPr>
          <w:sz w:val="22"/>
          <w:szCs w:val="22"/>
        </w:rPr>
        <w:t>), elektrická energie, voda, plyn a pohonné hmoty (6.390,2 </w:t>
      </w:r>
      <w:r w:rsidR="005E1108">
        <w:rPr>
          <w:sz w:val="22"/>
          <w:szCs w:val="22"/>
        </w:rPr>
        <w:t>tis. Kč</w:t>
      </w:r>
      <w:r w:rsidR="00A221F3">
        <w:rPr>
          <w:sz w:val="22"/>
          <w:szCs w:val="22"/>
        </w:rPr>
        <w:t>).</w:t>
      </w:r>
    </w:p>
    <w:p w:rsidR="00770BD0" w:rsidRDefault="00D710BB" w:rsidP="00D710BB">
      <w:pPr>
        <w:tabs>
          <w:tab w:val="left" w:pos="708"/>
          <w:tab w:val="left" w:pos="1416"/>
          <w:tab w:val="left" w:pos="2124"/>
          <w:tab w:val="left" w:pos="7425"/>
        </w:tabs>
        <w:jc w:val="both"/>
        <w:rPr>
          <w:sz w:val="22"/>
          <w:szCs w:val="22"/>
        </w:rPr>
      </w:pPr>
      <w:r w:rsidRPr="00770BD0">
        <w:rPr>
          <w:sz w:val="22"/>
          <w:szCs w:val="22"/>
        </w:rPr>
        <w:t>Investiční výdaje</w:t>
      </w:r>
      <w:r>
        <w:rPr>
          <w:sz w:val="22"/>
          <w:szCs w:val="22"/>
        </w:rPr>
        <w:t xml:space="preserve"> byly ve sledovaném období vyčerpány ve výši 2.673,9 </w:t>
      </w:r>
      <w:r w:rsidR="005E1108">
        <w:rPr>
          <w:sz w:val="22"/>
          <w:szCs w:val="22"/>
        </w:rPr>
        <w:t>tis. Kč</w:t>
      </w:r>
      <w:r>
        <w:rPr>
          <w:sz w:val="22"/>
          <w:szCs w:val="22"/>
        </w:rPr>
        <w:t xml:space="preserve"> (podrobný rozpis i</w:t>
      </w:r>
      <w:r>
        <w:rPr>
          <w:sz w:val="22"/>
          <w:szCs w:val="22"/>
        </w:rPr>
        <w:t>n</w:t>
      </w:r>
      <w:r>
        <w:rPr>
          <w:sz w:val="22"/>
          <w:szCs w:val="22"/>
        </w:rPr>
        <w:t xml:space="preserve">vestičních výdajů je uveden v tabulce č. </w:t>
      </w:r>
      <w:r w:rsidR="007F4742">
        <w:rPr>
          <w:sz w:val="22"/>
          <w:szCs w:val="22"/>
        </w:rPr>
        <w:t>4</w:t>
      </w:r>
      <w:r>
        <w:rPr>
          <w:sz w:val="22"/>
          <w:szCs w:val="22"/>
        </w:rPr>
        <w:t xml:space="preserve">). </w:t>
      </w:r>
    </w:p>
    <w:p w:rsidR="00770BD0" w:rsidRPr="00985085" w:rsidRDefault="00770BD0" w:rsidP="00D710BB">
      <w:pPr>
        <w:tabs>
          <w:tab w:val="left" w:pos="708"/>
          <w:tab w:val="left" w:pos="1416"/>
          <w:tab w:val="left" w:pos="2124"/>
          <w:tab w:val="left" w:pos="7425"/>
        </w:tabs>
        <w:jc w:val="both"/>
        <w:rPr>
          <w:sz w:val="22"/>
          <w:szCs w:val="22"/>
        </w:rPr>
      </w:pPr>
    </w:p>
    <w:p w:rsidR="00770BD0" w:rsidRPr="00985085" w:rsidRDefault="00770BD0" w:rsidP="00D710BB">
      <w:pPr>
        <w:tabs>
          <w:tab w:val="left" w:pos="708"/>
          <w:tab w:val="left" w:pos="1416"/>
          <w:tab w:val="left" w:pos="2124"/>
          <w:tab w:val="left" w:pos="7425"/>
        </w:tabs>
        <w:jc w:val="both"/>
        <w:rPr>
          <w:i/>
          <w:sz w:val="22"/>
          <w:szCs w:val="22"/>
        </w:rPr>
      </w:pPr>
      <w:r w:rsidRPr="00985085">
        <w:rPr>
          <w:i/>
          <w:sz w:val="22"/>
          <w:szCs w:val="22"/>
        </w:rPr>
        <w:t xml:space="preserve">Podkapitola 0924 Informatika </w:t>
      </w:r>
    </w:p>
    <w:p w:rsidR="00D710BB" w:rsidRDefault="00D710BB" w:rsidP="00D710BB">
      <w:pPr>
        <w:tabs>
          <w:tab w:val="left" w:pos="708"/>
          <w:tab w:val="left" w:pos="1416"/>
          <w:tab w:val="left" w:pos="2124"/>
          <w:tab w:val="left" w:pos="7425"/>
        </w:tabs>
        <w:jc w:val="both"/>
        <w:rPr>
          <w:sz w:val="22"/>
          <w:szCs w:val="22"/>
        </w:rPr>
      </w:pPr>
      <w:r>
        <w:rPr>
          <w:sz w:val="22"/>
          <w:szCs w:val="22"/>
        </w:rPr>
        <w:t>Výdaje na provoz</w:t>
      </w:r>
      <w:r w:rsidR="00AA76C9">
        <w:rPr>
          <w:sz w:val="22"/>
          <w:szCs w:val="22"/>
        </w:rPr>
        <w:t xml:space="preserve"> </w:t>
      </w:r>
      <w:r>
        <w:rPr>
          <w:sz w:val="22"/>
          <w:szCs w:val="22"/>
        </w:rPr>
        <w:t xml:space="preserve">výpočetní techniky představují částku ve výši 38.435,5 </w:t>
      </w:r>
      <w:r w:rsidR="005E1108">
        <w:rPr>
          <w:sz w:val="22"/>
          <w:szCs w:val="22"/>
        </w:rPr>
        <w:t>tis. Kč</w:t>
      </w:r>
      <w:r>
        <w:rPr>
          <w:sz w:val="22"/>
          <w:szCs w:val="22"/>
        </w:rPr>
        <w:t xml:space="preserve">. Zde představuje největší výdajovou položku položka 5169 – nákup služeb (14.534 </w:t>
      </w:r>
      <w:r w:rsidR="005E1108">
        <w:rPr>
          <w:sz w:val="22"/>
          <w:szCs w:val="22"/>
        </w:rPr>
        <w:t>tis. Kč</w:t>
      </w:r>
      <w:r>
        <w:rPr>
          <w:sz w:val="22"/>
          <w:szCs w:val="22"/>
        </w:rPr>
        <w:t>). Jedná se o výdaje za ou</w:t>
      </w:r>
      <w:r>
        <w:rPr>
          <w:sz w:val="22"/>
          <w:szCs w:val="22"/>
        </w:rPr>
        <w:t>t</w:t>
      </w:r>
      <w:r>
        <w:rPr>
          <w:sz w:val="22"/>
          <w:szCs w:val="22"/>
        </w:rPr>
        <w:t xml:space="preserve">sourcing, hot-line, správu internetu a IT systému, dále položka 5139 – nákup materiálu (4.166 </w:t>
      </w:r>
      <w:r w:rsidR="005E1108">
        <w:rPr>
          <w:sz w:val="22"/>
          <w:szCs w:val="22"/>
        </w:rPr>
        <w:t>tis. Kč</w:t>
      </w:r>
      <w:r>
        <w:rPr>
          <w:sz w:val="22"/>
          <w:szCs w:val="22"/>
        </w:rPr>
        <w:t xml:space="preserve">), nákup spotřebního materiálu pro výpočetní techniku. Položka 5164 – nájemné byla čerpána ve výši 3.856,2 </w:t>
      </w:r>
      <w:r w:rsidR="005E1108">
        <w:rPr>
          <w:sz w:val="22"/>
          <w:szCs w:val="22"/>
        </w:rPr>
        <w:t>tis. Kč</w:t>
      </w:r>
      <w:r>
        <w:rPr>
          <w:sz w:val="22"/>
          <w:szCs w:val="22"/>
        </w:rPr>
        <w:t xml:space="preserve"> a jedná se o výdaje za pronájem HW – PC, skenerů a serverů. Investiční výdaje byly čerpány celkem ve výši 9.135,7 </w:t>
      </w:r>
      <w:r w:rsidR="005E1108">
        <w:rPr>
          <w:sz w:val="22"/>
          <w:szCs w:val="22"/>
        </w:rPr>
        <w:t>tis. Kč</w:t>
      </w:r>
      <w:r w:rsidR="0018623A">
        <w:rPr>
          <w:sz w:val="22"/>
          <w:szCs w:val="22"/>
        </w:rPr>
        <w:t xml:space="preserve">. Čerpání bylo zejména na </w:t>
      </w:r>
      <w:proofErr w:type="spellStart"/>
      <w:r w:rsidR="0018623A">
        <w:rPr>
          <w:sz w:val="22"/>
          <w:szCs w:val="22"/>
        </w:rPr>
        <w:t>pol</w:t>
      </w:r>
      <w:proofErr w:type="spellEnd"/>
      <w:r w:rsidR="0018623A">
        <w:rPr>
          <w:sz w:val="22"/>
          <w:szCs w:val="22"/>
        </w:rPr>
        <w:t xml:space="preserve">. 6122 – stroje, přístroje, kde byla uhrazena dodávka Interaktivních úředních desek elektronického kiosku </w:t>
      </w:r>
      <w:proofErr w:type="spellStart"/>
      <w:r w:rsidR="0018623A">
        <w:rPr>
          <w:sz w:val="22"/>
          <w:szCs w:val="22"/>
        </w:rPr>
        <w:t>infocentra</w:t>
      </w:r>
      <w:proofErr w:type="spellEnd"/>
      <w:r w:rsidR="0018623A">
        <w:rPr>
          <w:sz w:val="22"/>
          <w:szCs w:val="22"/>
        </w:rPr>
        <w:t xml:space="preserve"> </w:t>
      </w:r>
      <w:r w:rsidR="00C60388">
        <w:rPr>
          <w:sz w:val="22"/>
          <w:szCs w:val="22"/>
        </w:rPr>
        <w:t>(</w:t>
      </w:r>
      <w:r w:rsidR="0018623A">
        <w:rPr>
          <w:sz w:val="22"/>
          <w:szCs w:val="22"/>
        </w:rPr>
        <w:t>1.135 tis.</w:t>
      </w:r>
      <w:r w:rsidR="007F4742">
        <w:rPr>
          <w:sz w:val="22"/>
          <w:szCs w:val="22"/>
        </w:rPr>
        <w:t xml:space="preserve"> </w:t>
      </w:r>
      <w:r w:rsidR="0018623A">
        <w:rPr>
          <w:sz w:val="22"/>
          <w:szCs w:val="22"/>
        </w:rPr>
        <w:t xml:space="preserve">Kč), pokrytí objektu MČ P5 signálem </w:t>
      </w:r>
      <w:proofErr w:type="spellStart"/>
      <w:r w:rsidR="0018623A">
        <w:rPr>
          <w:sz w:val="22"/>
          <w:szCs w:val="22"/>
        </w:rPr>
        <w:t>Wifi</w:t>
      </w:r>
      <w:proofErr w:type="spellEnd"/>
      <w:r w:rsidR="0018623A">
        <w:rPr>
          <w:sz w:val="22"/>
          <w:szCs w:val="22"/>
        </w:rPr>
        <w:t xml:space="preserve"> (1.168,1 </w:t>
      </w:r>
      <w:proofErr w:type="gramStart"/>
      <w:r w:rsidR="0018623A">
        <w:rPr>
          <w:sz w:val="22"/>
          <w:szCs w:val="22"/>
        </w:rPr>
        <w:t>tis.</w:t>
      </w:r>
      <w:r w:rsidR="007F4742">
        <w:rPr>
          <w:sz w:val="22"/>
          <w:szCs w:val="22"/>
        </w:rPr>
        <w:t xml:space="preserve"> </w:t>
      </w:r>
      <w:r w:rsidR="007D32CC">
        <w:rPr>
          <w:sz w:val="22"/>
          <w:szCs w:val="22"/>
        </w:rPr>
        <w:t xml:space="preserve"> </w:t>
      </w:r>
      <w:r w:rsidR="0018623A">
        <w:rPr>
          <w:sz w:val="22"/>
          <w:szCs w:val="22"/>
        </w:rPr>
        <w:t>Kč</w:t>
      </w:r>
      <w:proofErr w:type="gramEnd"/>
      <w:r w:rsidR="0018623A">
        <w:rPr>
          <w:sz w:val="22"/>
          <w:szCs w:val="22"/>
        </w:rPr>
        <w:t xml:space="preserve">), záložní datové propojení si vyžádalo náklady </w:t>
      </w:r>
      <w:r w:rsidR="0018623A">
        <w:rPr>
          <w:sz w:val="22"/>
          <w:szCs w:val="22"/>
        </w:rPr>
        <w:lastRenderedPageBreak/>
        <w:t xml:space="preserve">ve výši </w:t>
      </w:r>
      <w:r w:rsidR="00C60388">
        <w:rPr>
          <w:sz w:val="22"/>
          <w:szCs w:val="22"/>
        </w:rPr>
        <w:t>(</w:t>
      </w:r>
      <w:r w:rsidR="0018623A">
        <w:rPr>
          <w:sz w:val="22"/>
          <w:szCs w:val="22"/>
        </w:rPr>
        <w:t>1.131,5 tis.</w:t>
      </w:r>
      <w:r w:rsidR="007F4742">
        <w:rPr>
          <w:sz w:val="22"/>
          <w:szCs w:val="22"/>
        </w:rPr>
        <w:t xml:space="preserve"> </w:t>
      </w:r>
      <w:r w:rsidR="0018623A">
        <w:rPr>
          <w:sz w:val="22"/>
          <w:szCs w:val="22"/>
        </w:rPr>
        <w:t>Kč</w:t>
      </w:r>
      <w:r w:rsidR="00C60388">
        <w:rPr>
          <w:sz w:val="22"/>
          <w:szCs w:val="22"/>
        </w:rPr>
        <w:t>)</w:t>
      </w:r>
      <w:r w:rsidR="0018623A">
        <w:rPr>
          <w:sz w:val="22"/>
          <w:szCs w:val="22"/>
        </w:rPr>
        <w:t>,</w:t>
      </w:r>
      <w:r w:rsidR="00582229">
        <w:rPr>
          <w:sz w:val="22"/>
          <w:szCs w:val="22"/>
        </w:rPr>
        <w:t xml:space="preserve"> diskové úložiště serverových aplikací ve výši </w:t>
      </w:r>
      <w:r w:rsidR="00C60388">
        <w:rPr>
          <w:sz w:val="22"/>
          <w:szCs w:val="22"/>
        </w:rPr>
        <w:t>(</w:t>
      </w:r>
      <w:r w:rsidR="00582229">
        <w:rPr>
          <w:sz w:val="22"/>
          <w:szCs w:val="22"/>
        </w:rPr>
        <w:t>1.203,3 tis.</w:t>
      </w:r>
      <w:r w:rsidR="007F4742">
        <w:rPr>
          <w:sz w:val="22"/>
          <w:szCs w:val="22"/>
        </w:rPr>
        <w:t xml:space="preserve"> </w:t>
      </w:r>
      <w:r w:rsidR="00582229">
        <w:rPr>
          <w:sz w:val="22"/>
          <w:szCs w:val="22"/>
        </w:rPr>
        <w:t>Kč</w:t>
      </w:r>
      <w:r w:rsidR="00C60388">
        <w:rPr>
          <w:sz w:val="22"/>
          <w:szCs w:val="22"/>
        </w:rPr>
        <w:t>)</w:t>
      </w:r>
      <w:r w:rsidR="00582229">
        <w:rPr>
          <w:sz w:val="22"/>
          <w:szCs w:val="22"/>
        </w:rPr>
        <w:t xml:space="preserve">, Cluster pro provoz internetových a intranetových aplikací dosáhl výše </w:t>
      </w:r>
      <w:r w:rsidR="00C60388">
        <w:rPr>
          <w:sz w:val="22"/>
          <w:szCs w:val="22"/>
        </w:rPr>
        <w:t>(</w:t>
      </w:r>
      <w:r w:rsidR="00582229">
        <w:rPr>
          <w:sz w:val="22"/>
          <w:szCs w:val="22"/>
        </w:rPr>
        <w:t>844,5 tis.</w:t>
      </w:r>
      <w:r w:rsidR="007F4742">
        <w:rPr>
          <w:sz w:val="22"/>
          <w:szCs w:val="22"/>
        </w:rPr>
        <w:t xml:space="preserve"> </w:t>
      </w:r>
      <w:r w:rsidR="00582229">
        <w:rPr>
          <w:sz w:val="22"/>
          <w:szCs w:val="22"/>
        </w:rPr>
        <w:t>Kč</w:t>
      </w:r>
      <w:r w:rsidR="00C60388">
        <w:rPr>
          <w:sz w:val="22"/>
          <w:szCs w:val="22"/>
        </w:rPr>
        <w:t>)</w:t>
      </w:r>
      <w:r w:rsidR="00582229">
        <w:rPr>
          <w:sz w:val="22"/>
          <w:szCs w:val="22"/>
        </w:rPr>
        <w:t>, a další. P</w:t>
      </w:r>
      <w:r>
        <w:rPr>
          <w:sz w:val="22"/>
          <w:szCs w:val="22"/>
        </w:rPr>
        <w:t xml:space="preserve">odrobný rozpis investičních výdajů </w:t>
      </w:r>
      <w:r w:rsidR="00770BD0">
        <w:rPr>
          <w:sz w:val="22"/>
          <w:szCs w:val="22"/>
        </w:rPr>
        <w:t xml:space="preserve">je </w:t>
      </w:r>
      <w:r>
        <w:rPr>
          <w:sz w:val="22"/>
          <w:szCs w:val="22"/>
        </w:rPr>
        <w:t>uveden v tabulce č</w:t>
      </w:r>
      <w:r w:rsidR="00AE7E41">
        <w:rPr>
          <w:sz w:val="22"/>
          <w:szCs w:val="22"/>
        </w:rPr>
        <w:t xml:space="preserve">. </w:t>
      </w:r>
      <w:r w:rsidR="00561C4F">
        <w:rPr>
          <w:sz w:val="22"/>
          <w:szCs w:val="22"/>
        </w:rPr>
        <w:t>4</w:t>
      </w:r>
      <w:r>
        <w:rPr>
          <w:sz w:val="22"/>
          <w:szCs w:val="22"/>
        </w:rPr>
        <w:t>.</w:t>
      </w:r>
    </w:p>
    <w:p w:rsidR="00D710BB" w:rsidRDefault="00D710BB" w:rsidP="00D710BB">
      <w:pPr>
        <w:tabs>
          <w:tab w:val="left" w:pos="708"/>
          <w:tab w:val="left" w:pos="1416"/>
          <w:tab w:val="left" w:pos="2124"/>
          <w:tab w:val="left" w:pos="7425"/>
        </w:tabs>
        <w:jc w:val="both"/>
        <w:rPr>
          <w:sz w:val="22"/>
          <w:szCs w:val="22"/>
        </w:rPr>
      </w:pPr>
    </w:p>
    <w:p w:rsidR="00770BD0" w:rsidRPr="00985085" w:rsidRDefault="00770BD0" w:rsidP="00D710BB">
      <w:pPr>
        <w:tabs>
          <w:tab w:val="left" w:pos="708"/>
          <w:tab w:val="left" w:pos="1416"/>
          <w:tab w:val="left" w:pos="2124"/>
          <w:tab w:val="left" w:pos="7425"/>
        </w:tabs>
        <w:jc w:val="both"/>
        <w:rPr>
          <w:i/>
          <w:sz w:val="22"/>
          <w:szCs w:val="22"/>
        </w:rPr>
      </w:pPr>
      <w:r w:rsidRPr="00985085">
        <w:rPr>
          <w:i/>
          <w:sz w:val="22"/>
          <w:szCs w:val="22"/>
        </w:rPr>
        <w:t xml:space="preserve">Podkapitola 0926 Odbor kanceláře tajemníka </w:t>
      </w:r>
    </w:p>
    <w:p w:rsidR="00D710BB" w:rsidRDefault="00D710BB" w:rsidP="00D710BB">
      <w:pPr>
        <w:tabs>
          <w:tab w:val="left" w:pos="708"/>
          <w:tab w:val="left" w:pos="1416"/>
          <w:tab w:val="left" w:pos="2124"/>
          <w:tab w:val="left" w:pos="7425"/>
        </w:tabs>
        <w:jc w:val="both"/>
        <w:rPr>
          <w:sz w:val="22"/>
          <w:szCs w:val="22"/>
        </w:rPr>
      </w:pPr>
      <w:r>
        <w:rPr>
          <w:sz w:val="22"/>
          <w:szCs w:val="22"/>
        </w:rPr>
        <w:t>Na mzdové výdaje zaměstnanců bylo použito celkem 98.504,1</w:t>
      </w:r>
      <w:r w:rsidR="00AA76C9">
        <w:rPr>
          <w:sz w:val="22"/>
          <w:szCs w:val="22"/>
        </w:rPr>
        <w:t xml:space="preserve"> </w:t>
      </w:r>
      <w:r w:rsidR="005E1108">
        <w:rPr>
          <w:sz w:val="22"/>
          <w:szCs w:val="22"/>
        </w:rPr>
        <w:t>tis. Kč</w:t>
      </w:r>
      <w:r>
        <w:rPr>
          <w:sz w:val="22"/>
          <w:szCs w:val="22"/>
        </w:rPr>
        <w:t>, zákonné odvody s tím souvis</w:t>
      </w:r>
      <w:r>
        <w:rPr>
          <w:sz w:val="22"/>
          <w:szCs w:val="22"/>
        </w:rPr>
        <w:t>e</w:t>
      </w:r>
      <w:r>
        <w:rPr>
          <w:sz w:val="22"/>
          <w:szCs w:val="22"/>
        </w:rPr>
        <w:t xml:space="preserve">jící celkem 35.992,1 </w:t>
      </w:r>
      <w:r w:rsidR="005E1108">
        <w:rPr>
          <w:sz w:val="22"/>
          <w:szCs w:val="22"/>
        </w:rPr>
        <w:t>tis. Kč</w:t>
      </w:r>
      <w:r>
        <w:rPr>
          <w:sz w:val="22"/>
          <w:szCs w:val="22"/>
        </w:rPr>
        <w:t>, na odměny členům zastupitelstva celkem 7.789,8 </w:t>
      </w:r>
      <w:r w:rsidR="005E1108">
        <w:rPr>
          <w:sz w:val="22"/>
          <w:szCs w:val="22"/>
        </w:rPr>
        <w:t>tis. Kč</w:t>
      </w:r>
      <w:r>
        <w:rPr>
          <w:sz w:val="22"/>
          <w:szCs w:val="22"/>
        </w:rPr>
        <w:t xml:space="preserve">, zákonné odvody s tím související celkem 2.719,9 </w:t>
      </w:r>
      <w:r w:rsidR="005E1108">
        <w:rPr>
          <w:sz w:val="22"/>
          <w:szCs w:val="22"/>
        </w:rPr>
        <w:t>tis. Kč</w:t>
      </w:r>
      <w:r>
        <w:rPr>
          <w:sz w:val="22"/>
          <w:szCs w:val="22"/>
        </w:rPr>
        <w:t>, na refundace ostatním organizacím za uvolnění svých z</w:t>
      </w:r>
      <w:r>
        <w:rPr>
          <w:sz w:val="22"/>
          <w:szCs w:val="22"/>
        </w:rPr>
        <w:t>a</w:t>
      </w:r>
      <w:r>
        <w:rPr>
          <w:sz w:val="22"/>
          <w:szCs w:val="22"/>
        </w:rPr>
        <w:t xml:space="preserve">městnanců při práci v orgánech ZMČ celkem 2.476 </w:t>
      </w:r>
      <w:r w:rsidR="005E1108">
        <w:rPr>
          <w:sz w:val="22"/>
          <w:szCs w:val="22"/>
        </w:rPr>
        <w:t>tis. Kč</w:t>
      </w:r>
      <w:r>
        <w:rPr>
          <w:sz w:val="22"/>
          <w:szCs w:val="22"/>
        </w:rPr>
        <w:t>. Celkem bylo na podkapitole 0926 vyče</w:t>
      </w:r>
      <w:r>
        <w:rPr>
          <w:sz w:val="22"/>
          <w:szCs w:val="22"/>
        </w:rPr>
        <w:t>r</w:t>
      </w:r>
      <w:r>
        <w:rPr>
          <w:sz w:val="22"/>
          <w:szCs w:val="22"/>
        </w:rPr>
        <w:t xml:space="preserve">páno 164.174,3 </w:t>
      </w:r>
      <w:r w:rsidR="005E1108">
        <w:rPr>
          <w:sz w:val="22"/>
          <w:szCs w:val="22"/>
        </w:rPr>
        <w:t>tis. Kč</w:t>
      </w:r>
      <w:r>
        <w:rPr>
          <w:sz w:val="22"/>
          <w:szCs w:val="22"/>
        </w:rPr>
        <w:t xml:space="preserve">. Sociální fond byl čerpán ve výši 6.217,2 </w:t>
      </w:r>
      <w:r w:rsidR="005E1108">
        <w:rPr>
          <w:sz w:val="22"/>
          <w:szCs w:val="22"/>
        </w:rPr>
        <w:t>tis. Kč</w:t>
      </w:r>
      <w:r>
        <w:rPr>
          <w:sz w:val="22"/>
          <w:szCs w:val="22"/>
        </w:rPr>
        <w:t xml:space="preserve">. </w:t>
      </w:r>
    </w:p>
    <w:p w:rsidR="00D710BB" w:rsidRDefault="00D710BB" w:rsidP="00D710BB">
      <w:pPr>
        <w:tabs>
          <w:tab w:val="left" w:pos="708"/>
          <w:tab w:val="left" w:pos="1416"/>
          <w:tab w:val="left" w:pos="2124"/>
          <w:tab w:val="left" w:pos="7425"/>
        </w:tabs>
        <w:jc w:val="both"/>
        <w:rPr>
          <w:sz w:val="22"/>
          <w:szCs w:val="22"/>
        </w:rPr>
      </w:pPr>
    </w:p>
    <w:p w:rsidR="00D710BB" w:rsidRDefault="00D710BB" w:rsidP="00D710BB">
      <w:pPr>
        <w:tabs>
          <w:tab w:val="left" w:pos="708"/>
          <w:tab w:val="left" w:pos="1416"/>
          <w:tab w:val="left" w:pos="2124"/>
          <w:tab w:val="left" w:pos="7425"/>
        </w:tabs>
        <w:jc w:val="both"/>
        <w:rPr>
          <w:sz w:val="22"/>
          <w:szCs w:val="22"/>
        </w:rPr>
      </w:pPr>
      <w:r>
        <w:rPr>
          <w:sz w:val="22"/>
          <w:szCs w:val="22"/>
        </w:rPr>
        <w:t>Přehled o odměňování členů zastupitelstva obcí je uveden v příloze č. </w:t>
      </w:r>
      <w:r w:rsidR="007B2174">
        <w:rPr>
          <w:sz w:val="22"/>
          <w:szCs w:val="22"/>
        </w:rPr>
        <w:t>9</w:t>
      </w:r>
      <w:r>
        <w:rPr>
          <w:sz w:val="22"/>
          <w:szCs w:val="22"/>
        </w:rPr>
        <w:t xml:space="preserve">. Na činnost zastupitelů (služby telekomunikací a radiokomunikací, školení a konference, cestovné a dálniční známky) bylo vyčerpáno 1.064,6 </w:t>
      </w:r>
      <w:r w:rsidR="005E1108">
        <w:rPr>
          <w:sz w:val="22"/>
          <w:szCs w:val="22"/>
        </w:rPr>
        <w:t>tis. Kč</w:t>
      </w:r>
      <w:r w:rsidR="006718A2">
        <w:rPr>
          <w:sz w:val="22"/>
          <w:szCs w:val="22"/>
        </w:rPr>
        <w:t>. N</w:t>
      </w:r>
      <w:r>
        <w:rPr>
          <w:sz w:val="22"/>
          <w:szCs w:val="22"/>
        </w:rPr>
        <w:t xml:space="preserve">a náhrady mezd v době nemoci bylo </w:t>
      </w:r>
      <w:r w:rsidR="006718A2">
        <w:rPr>
          <w:sz w:val="22"/>
          <w:szCs w:val="22"/>
        </w:rPr>
        <w:t>vyplaceno</w:t>
      </w:r>
      <w:r>
        <w:rPr>
          <w:sz w:val="22"/>
          <w:szCs w:val="22"/>
        </w:rPr>
        <w:t xml:space="preserve"> 17,3 </w:t>
      </w:r>
      <w:r w:rsidR="005E1108">
        <w:rPr>
          <w:sz w:val="22"/>
          <w:szCs w:val="22"/>
        </w:rPr>
        <w:t>tis. Kč</w:t>
      </w:r>
      <w:r>
        <w:rPr>
          <w:sz w:val="22"/>
          <w:szCs w:val="22"/>
        </w:rPr>
        <w:t>.</w:t>
      </w:r>
    </w:p>
    <w:p w:rsidR="00D710BB" w:rsidRDefault="00D710BB" w:rsidP="00D710BB">
      <w:pPr>
        <w:tabs>
          <w:tab w:val="left" w:pos="708"/>
          <w:tab w:val="left" w:pos="1416"/>
          <w:tab w:val="left" w:pos="2124"/>
          <w:tab w:val="left" w:pos="7425"/>
        </w:tabs>
        <w:jc w:val="both"/>
        <w:rPr>
          <w:sz w:val="22"/>
          <w:szCs w:val="22"/>
        </w:rPr>
      </w:pPr>
    </w:p>
    <w:p w:rsidR="00B87BD2" w:rsidRPr="00985085" w:rsidRDefault="00B87BD2" w:rsidP="00B87BD2">
      <w:pPr>
        <w:tabs>
          <w:tab w:val="left" w:pos="708"/>
          <w:tab w:val="left" w:pos="1416"/>
          <w:tab w:val="left" w:pos="2124"/>
          <w:tab w:val="left" w:pos="7425"/>
        </w:tabs>
        <w:jc w:val="both"/>
        <w:rPr>
          <w:i/>
          <w:sz w:val="22"/>
          <w:szCs w:val="22"/>
        </w:rPr>
      </w:pPr>
      <w:r w:rsidRPr="00985085">
        <w:rPr>
          <w:i/>
          <w:sz w:val="22"/>
          <w:szCs w:val="22"/>
        </w:rPr>
        <w:t>Podkapitola 0912 a 0924 Odbor vnitřní správy</w:t>
      </w:r>
      <w:r w:rsidR="0074213D" w:rsidRPr="00985085">
        <w:rPr>
          <w:i/>
          <w:sz w:val="22"/>
          <w:szCs w:val="22"/>
        </w:rPr>
        <w:t xml:space="preserve">, 0926 Odbor kancelář </w:t>
      </w:r>
      <w:r w:rsidR="007823EF" w:rsidRPr="00985085">
        <w:rPr>
          <w:i/>
          <w:sz w:val="22"/>
          <w:szCs w:val="22"/>
        </w:rPr>
        <w:t>tajemníka</w:t>
      </w:r>
      <w:r w:rsidR="00AA76C9">
        <w:rPr>
          <w:i/>
          <w:sz w:val="22"/>
          <w:szCs w:val="22"/>
        </w:rPr>
        <w:t xml:space="preserve"> </w:t>
      </w:r>
      <w:r w:rsidR="006718A2">
        <w:rPr>
          <w:i/>
          <w:sz w:val="22"/>
          <w:szCs w:val="22"/>
        </w:rPr>
        <w:t>- volby</w:t>
      </w:r>
    </w:p>
    <w:p w:rsidR="0074213D" w:rsidRPr="006B5F18" w:rsidRDefault="0074213D" w:rsidP="0074213D">
      <w:pPr>
        <w:tabs>
          <w:tab w:val="left" w:pos="708"/>
          <w:tab w:val="left" w:pos="1416"/>
          <w:tab w:val="left" w:pos="2124"/>
          <w:tab w:val="left" w:pos="7425"/>
        </w:tabs>
        <w:jc w:val="both"/>
        <w:rPr>
          <w:sz w:val="22"/>
          <w:szCs w:val="22"/>
          <w:u w:val="single"/>
        </w:rPr>
      </w:pPr>
      <w:r w:rsidRPr="006B5F18">
        <w:rPr>
          <w:sz w:val="22"/>
          <w:szCs w:val="22"/>
          <w:u w:val="single"/>
        </w:rPr>
        <w:t>Volba prezidenta ČR (§ 6118)</w:t>
      </w:r>
    </w:p>
    <w:p w:rsidR="00631257" w:rsidRDefault="0074213D" w:rsidP="0074213D">
      <w:pPr>
        <w:tabs>
          <w:tab w:val="left" w:pos="708"/>
          <w:tab w:val="left" w:pos="1416"/>
          <w:tab w:val="left" w:pos="2124"/>
          <w:tab w:val="left" w:pos="7425"/>
        </w:tabs>
        <w:jc w:val="both"/>
        <w:rPr>
          <w:sz w:val="22"/>
          <w:szCs w:val="22"/>
        </w:rPr>
      </w:pPr>
      <w:r w:rsidRPr="00187B19">
        <w:rPr>
          <w:sz w:val="22"/>
          <w:szCs w:val="22"/>
        </w:rPr>
        <w:t>Městská část</w:t>
      </w:r>
      <w:r>
        <w:rPr>
          <w:sz w:val="22"/>
          <w:szCs w:val="22"/>
        </w:rPr>
        <w:t xml:space="preserve"> obdržela dotaci na volby prezidenta republiky </w:t>
      </w:r>
      <w:r w:rsidR="00631257">
        <w:rPr>
          <w:sz w:val="22"/>
          <w:szCs w:val="22"/>
        </w:rPr>
        <w:t xml:space="preserve">ve výši </w:t>
      </w:r>
      <w:r>
        <w:rPr>
          <w:sz w:val="22"/>
          <w:szCs w:val="22"/>
        </w:rPr>
        <w:t xml:space="preserve">2.644,7 </w:t>
      </w:r>
      <w:r w:rsidR="005E1108">
        <w:rPr>
          <w:sz w:val="22"/>
          <w:szCs w:val="22"/>
        </w:rPr>
        <w:t>tis. Kč</w:t>
      </w:r>
      <w:r>
        <w:rPr>
          <w:sz w:val="22"/>
          <w:szCs w:val="22"/>
        </w:rPr>
        <w:t>. Finanční prostře</w:t>
      </w:r>
      <w:r>
        <w:rPr>
          <w:sz w:val="22"/>
          <w:szCs w:val="22"/>
        </w:rPr>
        <w:t>d</w:t>
      </w:r>
      <w:r>
        <w:rPr>
          <w:sz w:val="22"/>
          <w:szCs w:val="22"/>
        </w:rPr>
        <w:t>ky byly čerpány zejména na uzavření dohody o provedení práce a dohody o pracovní činnosti a souv</w:t>
      </w:r>
      <w:r>
        <w:rPr>
          <w:sz w:val="22"/>
          <w:szCs w:val="22"/>
        </w:rPr>
        <w:t>i</w:t>
      </w:r>
      <w:r>
        <w:rPr>
          <w:sz w:val="22"/>
          <w:szCs w:val="22"/>
        </w:rPr>
        <w:t>sející odvody (např. příprava hlasovacích materiálů pro občany, nabírání, zpracování a vydávání voli</w:t>
      </w:r>
      <w:r>
        <w:rPr>
          <w:sz w:val="22"/>
          <w:szCs w:val="22"/>
        </w:rPr>
        <w:t>č</w:t>
      </w:r>
      <w:r>
        <w:rPr>
          <w:sz w:val="22"/>
          <w:szCs w:val="22"/>
        </w:rPr>
        <w:t xml:space="preserve">ských průkazů, zajištění služeb v oblasti distribucí hlasovacích lístků, faktického výkonu členů volební komise včetně distribuce volebních materiálů) apod. </w:t>
      </w:r>
    </w:p>
    <w:p w:rsidR="00631257" w:rsidRDefault="00631257" w:rsidP="0074213D">
      <w:pPr>
        <w:tabs>
          <w:tab w:val="left" w:pos="708"/>
          <w:tab w:val="left" w:pos="1416"/>
          <w:tab w:val="left" w:pos="2124"/>
          <w:tab w:val="left" w:pos="7425"/>
        </w:tabs>
        <w:jc w:val="both"/>
        <w:rPr>
          <w:sz w:val="22"/>
          <w:szCs w:val="22"/>
        </w:rPr>
      </w:pPr>
    </w:p>
    <w:p w:rsidR="00096C17" w:rsidRDefault="0074213D" w:rsidP="0074213D">
      <w:pPr>
        <w:tabs>
          <w:tab w:val="left" w:pos="708"/>
          <w:tab w:val="left" w:pos="1416"/>
          <w:tab w:val="left" w:pos="2124"/>
          <w:tab w:val="left" w:pos="7425"/>
        </w:tabs>
        <w:jc w:val="both"/>
        <w:rPr>
          <w:sz w:val="22"/>
          <w:szCs w:val="22"/>
        </w:rPr>
      </w:pPr>
      <w:r>
        <w:rPr>
          <w:sz w:val="22"/>
          <w:szCs w:val="22"/>
        </w:rPr>
        <w:t xml:space="preserve">Mzdové a personální výdaje činily 1.867 </w:t>
      </w:r>
      <w:r w:rsidR="005E1108">
        <w:rPr>
          <w:sz w:val="22"/>
          <w:szCs w:val="22"/>
        </w:rPr>
        <w:t>tis. Kč</w:t>
      </w:r>
      <w:r>
        <w:rPr>
          <w:sz w:val="22"/>
          <w:szCs w:val="22"/>
        </w:rPr>
        <w:t xml:space="preserve">. Ostatní náklady (v celkové výši 1.221,5 </w:t>
      </w:r>
      <w:r w:rsidR="005E1108">
        <w:rPr>
          <w:sz w:val="22"/>
          <w:szCs w:val="22"/>
        </w:rPr>
        <w:t>tis. Kč</w:t>
      </w:r>
      <w:r>
        <w:rPr>
          <w:sz w:val="22"/>
          <w:szCs w:val="22"/>
        </w:rPr>
        <w:t xml:space="preserve">) byly vynaloženy např. za pronájem volebních místností (318 </w:t>
      </w:r>
      <w:r w:rsidR="005E1108">
        <w:rPr>
          <w:sz w:val="22"/>
          <w:szCs w:val="22"/>
        </w:rPr>
        <w:t>tis. Kč</w:t>
      </w:r>
      <w:r>
        <w:rPr>
          <w:sz w:val="22"/>
          <w:szCs w:val="22"/>
        </w:rPr>
        <w:t xml:space="preserve">), rozvoz a svoz volebního materiálu (438,7 </w:t>
      </w:r>
      <w:r w:rsidR="005E1108">
        <w:rPr>
          <w:sz w:val="22"/>
          <w:szCs w:val="22"/>
        </w:rPr>
        <w:t>tis. Kč</w:t>
      </w:r>
      <w:r>
        <w:rPr>
          <w:sz w:val="22"/>
          <w:szCs w:val="22"/>
        </w:rPr>
        <w:t xml:space="preserve">), komplexní služby elektronické komunikace pro zajištění hlasového spojení volebních komisí (118.8 </w:t>
      </w:r>
      <w:r w:rsidR="005E1108">
        <w:rPr>
          <w:sz w:val="22"/>
          <w:szCs w:val="22"/>
        </w:rPr>
        <w:t>tis. Kč</w:t>
      </w:r>
      <w:r>
        <w:rPr>
          <w:sz w:val="22"/>
          <w:szCs w:val="22"/>
        </w:rPr>
        <w:t xml:space="preserve">), nákup materiálu (69,7 </w:t>
      </w:r>
      <w:r w:rsidR="005E1108">
        <w:rPr>
          <w:sz w:val="22"/>
          <w:szCs w:val="22"/>
        </w:rPr>
        <w:t>tis. Kč</w:t>
      </w:r>
      <w:r>
        <w:rPr>
          <w:sz w:val="22"/>
          <w:szCs w:val="22"/>
        </w:rPr>
        <w:t>), pohoštění a další. Za pronájem HW do vole</w:t>
      </w:r>
      <w:r>
        <w:rPr>
          <w:sz w:val="22"/>
          <w:szCs w:val="22"/>
        </w:rPr>
        <w:t>b</w:t>
      </w:r>
      <w:r>
        <w:rPr>
          <w:sz w:val="22"/>
          <w:szCs w:val="22"/>
        </w:rPr>
        <w:t xml:space="preserve">ních místností bylo vyčerpáno 874 </w:t>
      </w:r>
      <w:r w:rsidR="005E1108">
        <w:rPr>
          <w:sz w:val="22"/>
          <w:szCs w:val="22"/>
        </w:rPr>
        <w:t>tis. Kč</w:t>
      </w:r>
      <w:r w:rsidR="00631257">
        <w:rPr>
          <w:sz w:val="22"/>
          <w:szCs w:val="22"/>
        </w:rPr>
        <w:t>.</w:t>
      </w:r>
    </w:p>
    <w:p w:rsidR="00096C17" w:rsidRDefault="00096C17" w:rsidP="0074213D">
      <w:pPr>
        <w:tabs>
          <w:tab w:val="left" w:pos="708"/>
          <w:tab w:val="left" w:pos="1416"/>
          <w:tab w:val="left" w:pos="2124"/>
          <w:tab w:val="left" w:pos="7425"/>
        </w:tabs>
        <w:jc w:val="both"/>
        <w:rPr>
          <w:sz w:val="22"/>
          <w:szCs w:val="22"/>
        </w:rPr>
      </w:pPr>
    </w:p>
    <w:p w:rsidR="0074213D" w:rsidRPr="006121FF" w:rsidRDefault="0074213D" w:rsidP="0074213D">
      <w:pPr>
        <w:tabs>
          <w:tab w:val="left" w:pos="708"/>
          <w:tab w:val="left" w:pos="1416"/>
          <w:tab w:val="left" w:pos="2124"/>
          <w:tab w:val="left" w:pos="7425"/>
        </w:tabs>
        <w:jc w:val="both"/>
        <w:rPr>
          <w:sz w:val="22"/>
          <w:szCs w:val="22"/>
          <w:u w:val="single"/>
        </w:rPr>
      </w:pPr>
      <w:r w:rsidRPr="006121FF">
        <w:rPr>
          <w:sz w:val="22"/>
          <w:szCs w:val="22"/>
          <w:u w:val="single"/>
        </w:rPr>
        <w:t>Volby do Poslanecké sněmovny Parlamentu ČR</w:t>
      </w:r>
    </w:p>
    <w:p w:rsidR="00B61DC8" w:rsidRDefault="0074213D" w:rsidP="0074213D">
      <w:pPr>
        <w:tabs>
          <w:tab w:val="left" w:pos="708"/>
          <w:tab w:val="left" w:pos="1416"/>
          <w:tab w:val="left" w:pos="2124"/>
          <w:tab w:val="left" w:pos="7425"/>
        </w:tabs>
        <w:jc w:val="both"/>
        <w:rPr>
          <w:sz w:val="22"/>
          <w:szCs w:val="22"/>
        </w:rPr>
      </w:pPr>
      <w:r w:rsidRPr="001D1552">
        <w:rPr>
          <w:sz w:val="22"/>
          <w:szCs w:val="22"/>
        </w:rPr>
        <w:t xml:space="preserve">Městská část přijala dotaci ze státního rozpočtu v celkové výši </w:t>
      </w:r>
      <w:r>
        <w:rPr>
          <w:sz w:val="22"/>
          <w:szCs w:val="22"/>
        </w:rPr>
        <w:t xml:space="preserve">2.572,6 </w:t>
      </w:r>
      <w:r w:rsidR="005E1108">
        <w:rPr>
          <w:sz w:val="22"/>
          <w:szCs w:val="22"/>
        </w:rPr>
        <w:t>tis. Kč</w:t>
      </w:r>
      <w:r>
        <w:rPr>
          <w:sz w:val="22"/>
          <w:szCs w:val="22"/>
        </w:rPr>
        <w:t xml:space="preserve">. V rámci odboru vnitřní správy bylo čerpáno celkem 834,4 </w:t>
      </w:r>
      <w:r w:rsidR="005E1108">
        <w:rPr>
          <w:sz w:val="22"/>
          <w:szCs w:val="22"/>
        </w:rPr>
        <w:t>tis. Kč</w:t>
      </w:r>
      <w:r>
        <w:rPr>
          <w:sz w:val="22"/>
          <w:szCs w:val="22"/>
        </w:rPr>
        <w:t xml:space="preserve">, jde zejména o výdaje za rozvoz a svoz volebního materiálu (256,1 </w:t>
      </w:r>
      <w:r w:rsidR="005E1108">
        <w:rPr>
          <w:sz w:val="22"/>
          <w:szCs w:val="22"/>
        </w:rPr>
        <w:t>tis. Kč</w:t>
      </w:r>
      <w:r>
        <w:rPr>
          <w:sz w:val="22"/>
          <w:szCs w:val="22"/>
        </w:rPr>
        <w:t xml:space="preserve">), nákup materiálu – kancelářské potřeby, razítka (77,1 </w:t>
      </w:r>
      <w:r w:rsidR="005E1108">
        <w:rPr>
          <w:sz w:val="22"/>
          <w:szCs w:val="22"/>
        </w:rPr>
        <w:t>tis. Kč</w:t>
      </w:r>
      <w:r>
        <w:rPr>
          <w:sz w:val="22"/>
          <w:szCs w:val="22"/>
        </w:rPr>
        <w:t xml:space="preserve">), služby telekomunikací a radiokomunikací (56,5 </w:t>
      </w:r>
      <w:r w:rsidR="005E1108">
        <w:rPr>
          <w:sz w:val="22"/>
          <w:szCs w:val="22"/>
        </w:rPr>
        <w:t>tis. Kč</w:t>
      </w:r>
      <w:r>
        <w:rPr>
          <w:sz w:val="22"/>
          <w:szCs w:val="22"/>
        </w:rPr>
        <w:t xml:space="preserve">), pronájem volebních místností (165,3 </w:t>
      </w:r>
      <w:r w:rsidR="005E1108">
        <w:rPr>
          <w:sz w:val="22"/>
          <w:szCs w:val="22"/>
        </w:rPr>
        <w:t>tis. Kč</w:t>
      </w:r>
      <w:r>
        <w:rPr>
          <w:sz w:val="22"/>
          <w:szCs w:val="22"/>
        </w:rPr>
        <w:t xml:space="preserve">), pohoštění (247,3 </w:t>
      </w:r>
      <w:r w:rsidR="005E1108">
        <w:rPr>
          <w:sz w:val="22"/>
          <w:szCs w:val="22"/>
        </w:rPr>
        <w:t>tis. Kč</w:t>
      </w:r>
      <w:r>
        <w:rPr>
          <w:sz w:val="22"/>
          <w:szCs w:val="22"/>
        </w:rPr>
        <w:t>) atd. Na mzdové a personální výdaje bylo celkem čerpáno 1.727,9</w:t>
      </w:r>
      <w:r w:rsidR="005E1108">
        <w:rPr>
          <w:sz w:val="22"/>
          <w:szCs w:val="22"/>
        </w:rPr>
        <w:t> Kč</w:t>
      </w:r>
      <w:r>
        <w:rPr>
          <w:sz w:val="22"/>
          <w:szCs w:val="22"/>
        </w:rPr>
        <w:t>, zejména na uzavření dohody o provedení práce a dohody o pracovní činnosti, související odvody, cestovné a další.</w:t>
      </w:r>
    </w:p>
    <w:p w:rsidR="00631257" w:rsidRDefault="00631257" w:rsidP="0074213D">
      <w:pPr>
        <w:tabs>
          <w:tab w:val="left" w:pos="708"/>
          <w:tab w:val="left" w:pos="1416"/>
          <w:tab w:val="left" w:pos="2124"/>
          <w:tab w:val="left" w:pos="7425"/>
        </w:tabs>
        <w:jc w:val="both"/>
        <w:rPr>
          <w:sz w:val="22"/>
          <w:szCs w:val="22"/>
        </w:rPr>
      </w:pPr>
    </w:p>
    <w:p w:rsidR="0074213D" w:rsidRDefault="00B61DC8" w:rsidP="0074213D">
      <w:pPr>
        <w:tabs>
          <w:tab w:val="left" w:pos="708"/>
          <w:tab w:val="left" w:pos="1416"/>
          <w:tab w:val="left" w:pos="2124"/>
          <w:tab w:val="left" w:pos="7425"/>
        </w:tabs>
        <w:jc w:val="both"/>
        <w:rPr>
          <w:sz w:val="22"/>
          <w:szCs w:val="22"/>
        </w:rPr>
      </w:pPr>
      <w:r>
        <w:rPr>
          <w:sz w:val="22"/>
          <w:szCs w:val="22"/>
        </w:rPr>
        <w:t>Finanční pro</w:t>
      </w:r>
      <w:r w:rsidR="00EF716A">
        <w:rPr>
          <w:sz w:val="22"/>
          <w:szCs w:val="22"/>
        </w:rPr>
        <w:t xml:space="preserve">středky, které byly použity do </w:t>
      </w:r>
      <w:r>
        <w:rPr>
          <w:sz w:val="22"/>
          <w:szCs w:val="22"/>
        </w:rPr>
        <w:t xml:space="preserve">financování voleb z vlastních zdrojů </w:t>
      </w:r>
      <w:r w:rsidR="00561C4F">
        <w:rPr>
          <w:sz w:val="22"/>
          <w:szCs w:val="22"/>
        </w:rPr>
        <w:t xml:space="preserve">ve výši </w:t>
      </w:r>
      <w:r w:rsidR="00EC2640">
        <w:rPr>
          <w:sz w:val="22"/>
          <w:szCs w:val="22"/>
        </w:rPr>
        <w:t>1.809.401.31 Kč</w:t>
      </w:r>
      <w:r w:rsidR="00B31861">
        <w:rPr>
          <w:sz w:val="22"/>
          <w:szCs w:val="22"/>
        </w:rPr>
        <w:t>,</w:t>
      </w:r>
      <w:r w:rsidR="00EC2640">
        <w:rPr>
          <w:sz w:val="22"/>
          <w:szCs w:val="22"/>
        </w:rPr>
        <w:t xml:space="preserve"> </w:t>
      </w:r>
      <w:r w:rsidR="00631257">
        <w:rPr>
          <w:sz w:val="22"/>
          <w:szCs w:val="22"/>
        </w:rPr>
        <w:t>jsou</w:t>
      </w:r>
      <w:r>
        <w:rPr>
          <w:sz w:val="22"/>
          <w:szCs w:val="22"/>
        </w:rPr>
        <w:t xml:space="preserve"> nárokovány při finančním vypořádání za rok 2013 k </w:t>
      </w:r>
      <w:r w:rsidR="00EF716A">
        <w:rPr>
          <w:sz w:val="22"/>
          <w:szCs w:val="22"/>
        </w:rPr>
        <w:t>dofinancování</w:t>
      </w:r>
      <w:r>
        <w:rPr>
          <w:sz w:val="22"/>
          <w:szCs w:val="22"/>
        </w:rPr>
        <w:t xml:space="preserve"> ze státního rozpočtu.</w:t>
      </w:r>
      <w:r w:rsidR="00AA76C9">
        <w:rPr>
          <w:sz w:val="22"/>
          <w:szCs w:val="22"/>
        </w:rPr>
        <w:t xml:space="preserve"> </w:t>
      </w:r>
    </w:p>
    <w:p w:rsidR="007823EF" w:rsidRDefault="007823EF" w:rsidP="00D710BB">
      <w:pPr>
        <w:tabs>
          <w:tab w:val="left" w:pos="708"/>
          <w:tab w:val="left" w:pos="1416"/>
          <w:tab w:val="left" w:pos="2124"/>
          <w:tab w:val="left" w:pos="7425"/>
        </w:tabs>
        <w:jc w:val="both"/>
        <w:rPr>
          <w:i/>
          <w:sz w:val="22"/>
          <w:szCs w:val="22"/>
        </w:rPr>
      </w:pPr>
    </w:p>
    <w:p w:rsidR="00D710BB" w:rsidRPr="00985085" w:rsidRDefault="00D710BB" w:rsidP="00D710BB">
      <w:pPr>
        <w:tabs>
          <w:tab w:val="left" w:pos="708"/>
          <w:tab w:val="left" w:pos="1416"/>
          <w:tab w:val="left" w:pos="2124"/>
          <w:tab w:val="left" w:pos="7425"/>
        </w:tabs>
        <w:jc w:val="both"/>
        <w:rPr>
          <w:i/>
          <w:sz w:val="22"/>
          <w:szCs w:val="22"/>
        </w:rPr>
      </w:pPr>
      <w:r w:rsidRPr="00985085">
        <w:rPr>
          <w:i/>
          <w:sz w:val="22"/>
          <w:szCs w:val="22"/>
        </w:rPr>
        <w:t xml:space="preserve">Podkapitola 0938 Odbor servisních služeb </w:t>
      </w:r>
    </w:p>
    <w:p w:rsidR="00D710BB" w:rsidRDefault="00D710BB" w:rsidP="00D710BB">
      <w:pPr>
        <w:tabs>
          <w:tab w:val="left" w:pos="708"/>
          <w:tab w:val="left" w:pos="1416"/>
          <w:tab w:val="left" w:pos="2124"/>
          <w:tab w:val="left" w:pos="7425"/>
        </w:tabs>
        <w:jc w:val="both"/>
        <w:rPr>
          <w:sz w:val="22"/>
          <w:szCs w:val="22"/>
        </w:rPr>
      </w:pPr>
      <w:r>
        <w:rPr>
          <w:sz w:val="22"/>
          <w:szCs w:val="22"/>
        </w:rPr>
        <w:t xml:space="preserve">Ve sledovaném období vyčerpáno celkem 10.388,2 </w:t>
      </w:r>
      <w:r w:rsidR="005E1108">
        <w:rPr>
          <w:sz w:val="22"/>
          <w:szCs w:val="22"/>
        </w:rPr>
        <w:t>tis. Kč</w:t>
      </w:r>
      <w:r>
        <w:rPr>
          <w:sz w:val="22"/>
          <w:szCs w:val="22"/>
        </w:rPr>
        <w:t xml:space="preserve"> a to zejména na konzultační, poradenské a právní služby, zde bylo vyčerpáno celkem 8.689,2 </w:t>
      </w:r>
      <w:r w:rsidR="005E1108">
        <w:rPr>
          <w:sz w:val="22"/>
          <w:szCs w:val="22"/>
        </w:rPr>
        <w:t>tis. Kč</w:t>
      </w:r>
      <w:r>
        <w:rPr>
          <w:sz w:val="22"/>
          <w:szCs w:val="22"/>
        </w:rPr>
        <w:t>, jednalo se zejména o zpracování energeti</w:t>
      </w:r>
      <w:r>
        <w:rPr>
          <w:sz w:val="22"/>
          <w:szCs w:val="22"/>
        </w:rPr>
        <w:t>c</w:t>
      </w:r>
      <w:r>
        <w:rPr>
          <w:sz w:val="22"/>
          <w:szCs w:val="22"/>
        </w:rPr>
        <w:t>kých auditů a projektové dokumentace pro zateplení škol (2.706.1</w:t>
      </w:r>
      <w:r w:rsidR="005E1108">
        <w:rPr>
          <w:sz w:val="22"/>
          <w:szCs w:val="22"/>
        </w:rPr>
        <w:t>tis. Kč</w:t>
      </w:r>
      <w:r>
        <w:rPr>
          <w:sz w:val="22"/>
          <w:szCs w:val="22"/>
        </w:rPr>
        <w:t xml:space="preserve">), dále zpracování podkladů pro žádosti o dotace na odstranění ekologických škod (1.346,7 </w:t>
      </w:r>
      <w:r w:rsidR="005E1108">
        <w:rPr>
          <w:sz w:val="22"/>
          <w:szCs w:val="22"/>
        </w:rPr>
        <w:t>tis. Kč</w:t>
      </w:r>
      <w:r>
        <w:rPr>
          <w:sz w:val="22"/>
          <w:szCs w:val="22"/>
        </w:rPr>
        <w:t xml:space="preserve">), přípravy žádostí o dotace (3.528,5 </w:t>
      </w:r>
      <w:r w:rsidR="005E1108">
        <w:rPr>
          <w:sz w:val="22"/>
          <w:szCs w:val="22"/>
        </w:rPr>
        <w:t>tis. Kč</w:t>
      </w:r>
      <w:r>
        <w:rPr>
          <w:sz w:val="22"/>
          <w:szCs w:val="22"/>
        </w:rPr>
        <w:t>) a poradenskou činnost.</w:t>
      </w:r>
    </w:p>
    <w:p w:rsidR="00B4665B" w:rsidRPr="00C76BC6" w:rsidRDefault="00B4665B" w:rsidP="00D710BB">
      <w:pPr>
        <w:tabs>
          <w:tab w:val="left" w:pos="708"/>
          <w:tab w:val="left" w:pos="1416"/>
          <w:tab w:val="left" w:pos="2124"/>
          <w:tab w:val="left" w:pos="7425"/>
        </w:tabs>
        <w:jc w:val="both"/>
        <w:rPr>
          <w:sz w:val="22"/>
          <w:szCs w:val="22"/>
        </w:rPr>
      </w:pPr>
    </w:p>
    <w:p w:rsidR="00D710BB" w:rsidRPr="001D6931" w:rsidRDefault="008F3239" w:rsidP="00D710BB">
      <w:pPr>
        <w:jc w:val="both"/>
        <w:rPr>
          <w:sz w:val="22"/>
          <w:szCs w:val="22"/>
        </w:rPr>
      </w:pPr>
      <w:r>
        <w:rPr>
          <w:sz w:val="22"/>
          <w:szCs w:val="22"/>
        </w:rPr>
        <w:t>V</w:t>
      </w:r>
      <w:r w:rsidR="00D710BB" w:rsidRPr="004261A5">
        <w:rPr>
          <w:sz w:val="22"/>
          <w:szCs w:val="22"/>
        </w:rPr>
        <w:t xml:space="preserve"> rámci Operačního programu Praha Konkurenceschopnost </w:t>
      </w:r>
      <w:r>
        <w:rPr>
          <w:sz w:val="22"/>
          <w:szCs w:val="22"/>
        </w:rPr>
        <w:t>n</w:t>
      </w:r>
      <w:r w:rsidRPr="004261A5">
        <w:rPr>
          <w:sz w:val="22"/>
          <w:szCs w:val="22"/>
        </w:rPr>
        <w:t xml:space="preserve">a projekt </w:t>
      </w:r>
      <w:r w:rsidR="00D710BB" w:rsidRPr="004261A5">
        <w:rPr>
          <w:sz w:val="22"/>
          <w:szCs w:val="22"/>
        </w:rPr>
        <w:t>e</w:t>
      </w:r>
      <w:r>
        <w:rPr>
          <w:sz w:val="22"/>
          <w:szCs w:val="22"/>
        </w:rPr>
        <w:t>-</w:t>
      </w:r>
      <w:r w:rsidR="00D710BB" w:rsidRPr="004261A5">
        <w:rPr>
          <w:sz w:val="22"/>
          <w:szCs w:val="22"/>
        </w:rPr>
        <w:t>Government bylo v roce</w:t>
      </w:r>
      <w:r w:rsidR="00D710BB">
        <w:rPr>
          <w:sz w:val="22"/>
          <w:szCs w:val="22"/>
        </w:rPr>
        <w:t xml:space="preserve"> 2013 počítáno s částkou v celkové výši 19.907 </w:t>
      </w:r>
      <w:r w:rsidR="005E1108">
        <w:rPr>
          <w:sz w:val="22"/>
          <w:szCs w:val="22"/>
        </w:rPr>
        <w:t>tis. Kč</w:t>
      </w:r>
      <w:r w:rsidR="00D710BB">
        <w:rPr>
          <w:sz w:val="22"/>
          <w:szCs w:val="22"/>
        </w:rPr>
        <w:t xml:space="preserve">, z toho neinvestiční výdaje představují částku 522 </w:t>
      </w:r>
      <w:r w:rsidR="005E1108">
        <w:rPr>
          <w:sz w:val="22"/>
          <w:szCs w:val="22"/>
        </w:rPr>
        <w:t>tis. Kč</w:t>
      </w:r>
      <w:r w:rsidR="00D710BB">
        <w:rPr>
          <w:sz w:val="22"/>
          <w:szCs w:val="22"/>
        </w:rPr>
        <w:t xml:space="preserve"> a investiční 19.385 </w:t>
      </w:r>
      <w:r w:rsidR="005E1108">
        <w:rPr>
          <w:sz w:val="22"/>
          <w:szCs w:val="22"/>
        </w:rPr>
        <w:t>tis. Kč</w:t>
      </w:r>
      <w:r w:rsidR="00D710BB">
        <w:rPr>
          <w:sz w:val="22"/>
          <w:szCs w:val="22"/>
        </w:rPr>
        <w:t xml:space="preserve">. Na tento projekt bylo ve sledovaném období vyčerpáno celkem 299,5 </w:t>
      </w:r>
      <w:r w:rsidR="005E1108">
        <w:rPr>
          <w:sz w:val="22"/>
          <w:szCs w:val="22"/>
        </w:rPr>
        <w:t>tis. Kč</w:t>
      </w:r>
      <w:r w:rsidR="00D710BB">
        <w:rPr>
          <w:sz w:val="22"/>
          <w:szCs w:val="22"/>
        </w:rPr>
        <w:t xml:space="preserve"> a to na neinvestiční výdaje. Probíhá výběrové řízení na dodavatele</w:t>
      </w:r>
      <w:r w:rsidR="00B31861">
        <w:rPr>
          <w:sz w:val="22"/>
          <w:szCs w:val="22"/>
        </w:rPr>
        <w:t xml:space="preserve"> zařízení</w:t>
      </w:r>
      <w:r w:rsidR="00D710BB">
        <w:rPr>
          <w:sz w:val="22"/>
          <w:szCs w:val="22"/>
        </w:rPr>
        <w:t>.</w:t>
      </w:r>
    </w:p>
    <w:p w:rsidR="00D710BB" w:rsidRDefault="00D710BB" w:rsidP="00D710BB">
      <w:pPr>
        <w:tabs>
          <w:tab w:val="left" w:pos="708"/>
          <w:tab w:val="left" w:pos="1416"/>
          <w:tab w:val="left" w:pos="2124"/>
          <w:tab w:val="left" w:pos="7425"/>
        </w:tabs>
        <w:jc w:val="both"/>
        <w:rPr>
          <w:b/>
          <w:sz w:val="22"/>
          <w:szCs w:val="22"/>
        </w:rPr>
      </w:pPr>
    </w:p>
    <w:p w:rsidR="00D710BB" w:rsidRPr="00B53421" w:rsidRDefault="004A0F1C" w:rsidP="003E450D">
      <w:pPr>
        <w:pStyle w:val="Nadpis5"/>
      </w:pPr>
      <w:bookmarkStart w:id="28" w:name="_Toc385875213"/>
      <w:bookmarkEnd w:id="18"/>
      <w:bookmarkEnd w:id="19"/>
      <w:r>
        <w:t>Kapitola</w:t>
      </w:r>
      <w:r w:rsidR="00C422DC" w:rsidRPr="00B53421">
        <w:t xml:space="preserve"> 10</w:t>
      </w:r>
      <w:r w:rsidR="00C422DC">
        <w:tab/>
      </w:r>
      <w:r w:rsidR="00D710BB" w:rsidRPr="00B53421">
        <w:t>O</w:t>
      </w:r>
      <w:r w:rsidR="00C422DC">
        <w:t>statní činnosti</w:t>
      </w:r>
      <w:bookmarkEnd w:id="28"/>
    </w:p>
    <w:p w:rsidR="008466FA" w:rsidRDefault="008466FA" w:rsidP="00D710BB">
      <w:pPr>
        <w:jc w:val="both"/>
        <w:rPr>
          <w:sz w:val="22"/>
          <w:szCs w:val="22"/>
        </w:rPr>
      </w:pPr>
    </w:p>
    <w:p w:rsidR="00D710BB" w:rsidRDefault="00D710BB" w:rsidP="00D710BB">
      <w:pPr>
        <w:jc w:val="both"/>
        <w:rPr>
          <w:sz w:val="22"/>
          <w:szCs w:val="22"/>
        </w:rPr>
      </w:pPr>
      <w:r>
        <w:rPr>
          <w:sz w:val="22"/>
          <w:szCs w:val="22"/>
        </w:rPr>
        <w:lastRenderedPageBreak/>
        <w:t xml:space="preserve">Upravený rozpočet výdajů 24.122,4 </w:t>
      </w:r>
      <w:r w:rsidR="005E1108">
        <w:rPr>
          <w:sz w:val="22"/>
          <w:szCs w:val="22"/>
        </w:rPr>
        <w:t>tis. Kč</w:t>
      </w:r>
      <w:r>
        <w:rPr>
          <w:sz w:val="22"/>
          <w:szCs w:val="22"/>
        </w:rPr>
        <w:t xml:space="preserve"> byl čerpán ve výši 613,4 </w:t>
      </w:r>
      <w:r w:rsidR="005E1108">
        <w:rPr>
          <w:sz w:val="22"/>
          <w:szCs w:val="22"/>
        </w:rPr>
        <w:t>tis. Kč</w:t>
      </w:r>
      <w:r>
        <w:rPr>
          <w:sz w:val="22"/>
          <w:szCs w:val="22"/>
        </w:rPr>
        <w:t xml:space="preserve">, tj. 2,5%. Ve sledovaném období proběhla platba pojistného a povinného ručení na automobily MČ ve výši 236,7 </w:t>
      </w:r>
      <w:r w:rsidR="005E1108">
        <w:rPr>
          <w:sz w:val="22"/>
          <w:szCs w:val="22"/>
        </w:rPr>
        <w:t>tis. Kč</w:t>
      </w:r>
      <w:r>
        <w:rPr>
          <w:sz w:val="22"/>
          <w:szCs w:val="22"/>
        </w:rPr>
        <w:t>. V této kapitole se promítají finanční prostředky rozpočtované neinvestiční rezervy, které lze použit na fina</w:t>
      </w:r>
      <w:r>
        <w:rPr>
          <w:sz w:val="22"/>
          <w:szCs w:val="22"/>
        </w:rPr>
        <w:t>n</w:t>
      </w:r>
      <w:r>
        <w:rPr>
          <w:sz w:val="22"/>
          <w:szCs w:val="22"/>
        </w:rPr>
        <w:t>cování nečekaných výdajů v průběhu roku.</w:t>
      </w:r>
      <w:r w:rsidR="008F3239">
        <w:rPr>
          <w:sz w:val="22"/>
          <w:szCs w:val="22"/>
        </w:rPr>
        <w:t xml:space="preserve"> </w:t>
      </w:r>
      <w:r w:rsidR="00B31861">
        <w:rPr>
          <w:sz w:val="22"/>
          <w:szCs w:val="22"/>
        </w:rPr>
        <w:t>V průběhu roku bylo provedeno několik rozpočtových opatření</w:t>
      </w:r>
      <w:r w:rsidR="00B4665B">
        <w:rPr>
          <w:sz w:val="22"/>
          <w:szCs w:val="22"/>
        </w:rPr>
        <w:t>, kterými byly rezervní prostředky převedeny do příslušných podkapitol a naopak sem byly směrovány uspořené prostředky za akce, které nebyly realizovány.</w:t>
      </w:r>
      <w:r w:rsidR="00F00B17">
        <w:rPr>
          <w:sz w:val="22"/>
          <w:szCs w:val="22"/>
        </w:rPr>
        <w:t xml:space="preserve"> V závěru roku došlo k přesunu uspořených prostředků do fondu rezerv a rozvoje ve výši 70 mil. Kč.</w:t>
      </w:r>
    </w:p>
    <w:p w:rsidR="00D710BB" w:rsidRDefault="00D710BB" w:rsidP="00D710BB"/>
    <w:p w:rsidR="000133E4" w:rsidRDefault="00B53421" w:rsidP="008F3239">
      <w:pPr>
        <w:pStyle w:val="Nadpis3"/>
      </w:pPr>
      <w:bookmarkStart w:id="29" w:name="_Toc385875214"/>
      <w:r>
        <w:t>B</w:t>
      </w:r>
      <w:r w:rsidR="00557DA0" w:rsidRPr="00567E7D">
        <w:t>ilance příjmů a výdajů ro</w:t>
      </w:r>
      <w:r w:rsidR="008F3239">
        <w:t xml:space="preserve">zpočtu </w:t>
      </w:r>
      <w:r w:rsidR="00A85C7E" w:rsidRPr="00567E7D">
        <w:t>za rok 201</w:t>
      </w:r>
      <w:r w:rsidR="008316DD" w:rsidRPr="00567E7D">
        <w:t>3</w:t>
      </w:r>
      <w:bookmarkEnd w:id="29"/>
    </w:p>
    <w:p w:rsidR="000133E4" w:rsidRPr="00D01F0B" w:rsidRDefault="00D01F0B" w:rsidP="00D01F0B">
      <w:pPr>
        <w:jc w:val="right"/>
        <w:rPr>
          <w:sz w:val="18"/>
          <w:szCs w:val="18"/>
        </w:rPr>
      </w:pPr>
      <w:r w:rsidRPr="00D01F0B">
        <w:rPr>
          <w:sz w:val="18"/>
          <w:szCs w:val="18"/>
        </w:rPr>
        <w:t>v tis. Kč</w:t>
      </w:r>
    </w:p>
    <w:tbl>
      <w:tblPr>
        <w:tblW w:w="9072" w:type="dxa"/>
        <w:tblInd w:w="10" w:type="dxa"/>
        <w:tblLayout w:type="fixed"/>
        <w:tblCellMar>
          <w:left w:w="0" w:type="dxa"/>
          <w:right w:w="0" w:type="dxa"/>
        </w:tblCellMar>
        <w:tblLook w:val="0000"/>
      </w:tblPr>
      <w:tblGrid>
        <w:gridCol w:w="3544"/>
        <w:gridCol w:w="992"/>
        <w:gridCol w:w="993"/>
        <w:gridCol w:w="992"/>
        <w:gridCol w:w="709"/>
        <w:gridCol w:w="709"/>
        <w:gridCol w:w="1133"/>
      </w:tblGrid>
      <w:tr w:rsidR="00557DA0" w:rsidRPr="00C4542A" w:rsidTr="00C4542A">
        <w:trPr>
          <w:trHeight w:val="735"/>
        </w:trPr>
        <w:tc>
          <w:tcPr>
            <w:tcW w:w="3544" w:type="dxa"/>
            <w:tcBorders>
              <w:top w:val="single" w:sz="4" w:space="0" w:color="auto"/>
              <w:left w:val="single" w:sz="8" w:space="0" w:color="auto"/>
              <w:bottom w:val="single" w:sz="4" w:space="0" w:color="auto"/>
              <w:right w:val="single" w:sz="4" w:space="0" w:color="auto"/>
            </w:tcBorders>
            <w:shd w:val="clear" w:color="auto" w:fill="EEECE1"/>
            <w:noWrap/>
            <w:vAlign w:val="center"/>
          </w:tcPr>
          <w:p w:rsidR="00557DA0" w:rsidRPr="00C4542A" w:rsidRDefault="00557DA0" w:rsidP="00D61481">
            <w:pPr>
              <w:jc w:val="center"/>
              <w:rPr>
                <w:b/>
                <w:bCs/>
                <w:sz w:val="20"/>
                <w:szCs w:val="20"/>
              </w:rPr>
            </w:pPr>
            <w:r w:rsidRPr="00C4542A">
              <w:rPr>
                <w:b/>
                <w:bCs/>
                <w:sz w:val="20"/>
                <w:szCs w:val="20"/>
              </w:rPr>
              <w:t>Druh</w:t>
            </w:r>
          </w:p>
        </w:tc>
        <w:tc>
          <w:tcPr>
            <w:tcW w:w="992" w:type="dxa"/>
            <w:tcBorders>
              <w:top w:val="single" w:sz="4" w:space="0" w:color="auto"/>
              <w:left w:val="nil"/>
              <w:bottom w:val="single" w:sz="4" w:space="0" w:color="auto"/>
              <w:right w:val="single" w:sz="4" w:space="0" w:color="auto"/>
            </w:tcBorders>
            <w:shd w:val="clear" w:color="auto" w:fill="EEECE1"/>
            <w:vAlign w:val="center"/>
          </w:tcPr>
          <w:p w:rsidR="00557DA0" w:rsidRPr="00C4542A" w:rsidRDefault="00557DA0" w:rsidP="00D61481">
            <w:pPr>
              <w:jc w:val="center"/>
              <w:rPr>
                <w:b/>
                <w:bCs/>
                <w:sz w:val="20"/>
                <w:szCs w:val="20"/>
              </w:rPr>
            </w:pPr>
            <w:r w:rsidRPr="00C4542A">
              <w:rPr>
                <w:b/>
                <w:bCs/>
                <w:sz w:val="20"/>
                <w:szCs w:val="20"/>
              </w:rPr>
              <w:t>Schválený rozpočet</w:t>
            </w:r>
          </w:p>
        </w:tc>
        <w:tc>
          <w:tcPr>
            <w:tcW w:w="993" w:type="dxa"/>
            <w:tcBorders>
              <w:top w:val="single" w:sz="4" w:space="0" w:color="auto"/>
              <w:left w:val="single" w:sz="4" w:space="0" w:color="auto"/>
              <w:bottom w:val="single" w:sz="4" w:space="0" w:color="auto"/>
              <w:right w:val="single" w:sz="4" w:space="0" w:color="auto"/>
            </w:tcBorders>
            <w:shd w:val="clear" w:color="auto" w:fill="EEECE1"/>
            <w:vAlign w:val="center"/>
          </w:tcPr>
          <w:p w:rsidR="00557DA0" w:rsidRPr="00C4542A" w:rsidRDefault="00557DA0" w:rsidP="00D61481">
            <w:pPr>
              <w:jc w:val="center"/>
              <w:rPr>
                <w:b/>
                <w:bCs/>
                <w:sz w:val="20"/>
                <w:szCs w:val="20"/>
              </w:rPr>
            </w:pPr>
            <w:r w:rsidRPr="00C4542A">
              <w:rPr>
                <w:b/>
                <w:bCs/>
                <w:sz w:val="20"/>
                <w:szCs w:val="20"/>
              </w:rPr>
              <w:t>Upravený rozpočet</w:t>
            </w:r>
          </w:p>
        </w:tc>
        <w:tc>
          <w:tcPr>
            <w:tcW w:w="992" w:type="dxa"/>
            <w:tcBorders>
              <w:top w:val="single" w:sz="4" w:space="0" w:color="auto"/>
              <w:left w:val="single" w:sz="4" w:space="0" w:color="auto"/>
              <w:bottom w:val="single" w:sz="4" w:space="0" w:color="auto"/>
              <w:right w:val="single" w:sz="4" w:space="0" w:color="auto"/>
            </w:tcBorders>
            <w:shd w:val="clear" w:color="auto" w:fill="EEECE1"/>
            <w:vAlign w:val="center"/>
          </w:tcPr>
          <w:p w:rsidR="00557DA0" w:rsidRPr="00C4542A" w:rsidRDefault="00557DA0" w:rsidP="00D61481">
            <w:pPr>
              <w:jc w:val="center"/>
              <w:rPr>
                <w:b/>
                <w:bCs/>
                <w:sz w:val="20"/>
                <w:szCs w:val="20"/>
              </w:rPr>
            </w:pPr>
            <w:r w:rsidRPr="00C4542A">
              <w:rPr>
                <w:b/>
                <w:bCs/>
                <w:sz w:val="20"/>
                <w:szCs w:val="20"/>
              </w:rPr>
              <w:t>Skutečnost</w:t>
            </w:r>
          </w:p>
          <w:p w:rsidR="006C2B9F" w:rsidRPr="00C4542A" w:rsidRDefault="006C2B9F" w:rsidP="00D61481">
            <w:pPr>
              <w:jc w:val="center"/>
              <w:rPr>
                <w:b/>
                <w:bCs/>
                <w:sz w:val="20"/>
                <w:szCs w:val="20"/>
              </w:rPr>
            </w:pPr>
            <w:r w:rsidRPr="00C4542A">
              <w:rPr>
                <w:b/>
                <w:bCs/>
                <w:sz w:val="20"/>
                <w:szCs w:val="20"/>
              </w:rPr>
              <w:t>k</w:t>
            </w:r>
          </w:p>
          <w:p w:rsidR="006C2B9F" w:rsidRPr="00C4542A" w:rsidRDefault="006C2B9F" w:rsidP="008B4721">
            <w:pPr>
              <w:jc w:val="center"/>
              <w:rPr>
                <w:b/>
                <w:bCs/>
                <w:sz w:val="20"/>
                <w:szCs w:val="20"/>
              </w:rPr>
            </w:pPr>
            <w:r w:rsidRPr="00C4542A">
              <w:rPr>
                <w:b/>
                <w:bCs/>
                <w:sz w:val="20"/>
                <w:szCs w:val="20"/>
              </w:rPr>
              <w:t>31.12.201</w:t>
            </w:r>
            <w:r w:rsidR="008B4721" w:rsidRPr="00C4542A">
              <w:rPr>
                <w:b/>
                <w:bCs/>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EF01C6" w:rsidRPr="00C4542A" w:rsidRDefault="00DB7127" w:rsidP="00D61481">
            <w:pPr>
              <w:jc w:val="center"/>
              <w:rPr>
                <w:b/>
                <w:bCs/>
                <w:sz w:val="20"/>
                <w:szCs w:val="20"/>
              </w:rPr>
            </w:pPr>
            <w:r w:rsidRPr="00C4542A">
              <w:rPr>
                <w:b/>
                <w:bCs/>
                <w:sz w:val="20"/>
                <w:szCs w:val="20"/>
              </w:rPr>
              <w:t xml:space="preserve">% </w:t>
            </w:r>
          </w:p>
          <w:p w:rsidR="00DB7127" w:rsidRPr="00C4542A" w:rsidRDefault="00DB7127" w:rsidP="00D61481">
            <w:pPr>
              <w:jc w:val="center"/>
              <w:rPr>
                <w:b/>
                <w:bCs/>
                <w:sz w:val="20"/>
                <w:szCs w:val="20"/>
              </w:rPr>
            </w:pPr>
            <w:r w:rsidRPr="00C4542A">
              <w:rPr>
                <w:b/>
                <w:bCs/>
                <w:sz w:val="20"/>
                <w:szCs w:val="20"/>
              </w:rPr>
              <w:t>plnění</w:t>
            </w:r>
          </w:p>
          <w:p w:rsidR="00557DA0" w:rsidRPr="00C4542A" w:rsidRDefault="00DB7127" w:rsidP="00D61481">
            <w:pPr>
              <w:jc w:val="center"/>
              <w:rPr>
                <w:b/>
                <w:bCs/>
                <w:sz w:val="20"/>
                <w:szCs w:val="20"/>
              </w:rPr>
            </w:pPr>
            <w:r w:rsidRPr="00C4542A">
              <w:rPr>
                <w:b/>
                <w:bCs/>
                <w:sz w:val="20"/>
                <w:szCs w:val="20"/>
              </w:rPr>
              <w:t>k SR</w:t>
            </w:r>
          </w:p>
        </w:tc>
        <w:tc>
          <w:tcPr>
            <w:tcW w:w="709" w:type="dxa"/>
            <w:tcBorders>
              <w:top w:val="single" w:sz="4" w:space="0" w:color="auto"/>
              <w:left w:val="single" w:sz="4" w:space="0" w:color="auto"/>
              <w:bottom w:val="single" w:sz="4" w:space="0" w:color="auto"/>
              <w:right w:val="single" w:sz="4" w:space="0" w:color="auto"/>
            </w:tcBorders>
            <w:shd w:val="clear" w:color="auto" w:fill="EEECE1"/>
            <w:vAlign w:val="center"/>
          </w:tcPr>
          <w:p w:rsidR="00EF01C6" w:rsidRPr="00C4542A" w:rsidRDefault="00557DA0" w:rsidP="00D61481">
            <w:pPr>
              <w:jc w:val="center"/>
              <w:rPr>
                <w:b/>
                <w:bCs/>
                <w:sz w:val="20"/>
                <w:szCs w:val="20"/>
              </w:rPr>
            </w:pPr>
            <w:r w:rsidRPr="00C4542A">
              <w:rPr>
                <w:b/>
                <w:bCs/>
                <w:sz w:val="20"/>
                <w:szCs w:val="20"/>
              </w:rPr>
              <w:t xml:space="preserve">% </w:t>
            </w:r>
          </w:p>
          <w:p w:rsidR="00557DA0" w:rsidRPr="00C4542A" w:rsidRDefault="00557DA0" w:rsidP="00D61481">
            <w:pPr>
              <w:jc w:val="center"/>
              <w:rPr>
                <w:b/>
                <w:bCs/>
                <w:sz w:val="20"/>
                <w:szCs w:val="20"/>
              </w:rPr>
            </w:pPr>
            <w:r w:rsidRPr="00C4542A">
              <w:rPr>
                <w:b/>
                <w:bCs/>
                <w:sz w:val="20"/>
                <w:szCs w:val="20"/>
              </w:rPr>
              <w:t>plnění</w:t>
            </w:r>
          </w:p>
          <w:p w:rsidR="00557DA0" w:rsidRPr="00C4542A" w:rsidRDefault="00557DA0" w:rsidP="00D61481">
            <w:pPr>
              <w:jc w:val="center"/>
              <w:rPr>
                <w:b/>
                <w:bCs/>
                <w:sz w:val="20"/>
                <w:szCs w:val="20"/>
              </w:rPr>
            </w:pPr>
            <w:r w:rsidRPr="00C4542A">
              <w:rPr>
                <w:b/>
                <w:bCs/>
                <w:sz w:val="20"/>
                <w:szCs w:val="20"/>
              </w:rPr>
              <w:t xml:space="preserve">k </w:t>
            </w:r>
            <w:r w:rsidR="00DB7127" w:rsidRPr="00C4542A">
              <w:rPr>
                <w:b/>
                <w:bCs/>
                <w:sz w:val="20"/>
                <w:szCs w:val="20"/>
              </w:rPr>
              <w:t>U</w:t>
            </w:r>
            <w:r w:rsidRPr="00C4542A">
              <w:rPr>
                <w:b/>
                <w:bCs/>
                <w:sz w:val="20"/>
                <w:szCs w:val="20"/>
              </w:rPr>
              <w:t>R</w:t>
            </w:r>
          </w:p>
        </w:tc>
        <w:tc>
          <w:tcPr>
            <w:tcW w:w="1133" w:type="dxa"/>
            <w:tcBorders>
              <w:top w:val="single" w:sz="4" w:space="0" w:color="auto"/>
              <w:left w:val="single" w:sz="4" w:space="0" w:color="auto"/>
              <w:bottom w:val="single" w:sz="4" w:space="0" w:color="auto"/>
              <w:right w:val="single" w:sz="4" w:space="0" w:color="auto"/>
            </w:tcBorders>
            <w:shd w:val="clear" w:color="auto" w:fill="EEECE1"/>
            <w:vAlign w:val="center"/>
          </w:tcPr>
          <w:p w:rsidR="00557DA0" w:rsidRPr="00C4542A" w:rsidRDefault="00557DA0" w:rsidP="00D61481">
            <w:pPr>
              <w:jc w:val="center"/>
              <w:rPr>
                <w:b/>
                <w:bCs/>
                <w:sz w:val="20"/>
                <w:szCs w:val="20"/>
              </w:rPr>
            </w:pPr>
            <w:r w:rsidRPr="00C4542A">
              <w:rPr>
                <w:b/>
                <w:bCs/>
                <w:sz w:val="20"/>
                <w:szCs w:val="20"/>
              </w:rPr>
              <w:t>Skutečnost</w:t>
            </w:r>
          </w:p>
          <w:p w:rsidR="00557DA0" w:rsidRPr="00C4542A" w:rsidRDefault="00557DA0" w:rsidP="00D61481">
            <w:pPr>
              <w:jc w:val="center"/>
              <w:rPr>
                <w:b/>
                <w:bCs/>
                <w:sz w:val="20"/>
                <w:szCs w:val="20"/>
              </w:rPr>
            </w:pPr>
            <w:r w:rsidRPr="00C4542A">
              <w:rPr>
                <w:b/>
                <w:bCs/>
                <w:sz w:val="20"/>
                <w:szCs w:val="20"/>
              </w:rPr>
              <w:t>k</w:t>
            </w:r>
          </w:p>
          <w:p w:rsidR="00557DA0" w:rsidRPr="00C4542A" w:rsidRDefault="00557DA0" w:rsidP="008B4721">
            <w:pPr>
              <w:jc w:val="center"/>
              <w:rPr>
                <w:b/>
                <w:bCs/>
                <w:sz w:val="20"/>
                <w:szCs w:val="20"/>
              </w:rPr>
            </w:pPr>
            <w:r w:rsidRPr="00C4542A">
              <w:rPr>
                <w:b/>
                <w:bCs/>
                <w:sz w:val="20"/>
                <w:szCs w:val="20"/>
              </w:rPr>
              <w:t>31.12.201</w:t>
            </w:r>
            <w:r w:rsidR="008B4721" w:rsidRPr="00C4542A">
              <w:rPr>
                <w:b/>
                <w:bCs/>
                <w:sz w:val="20"/>
                <w:szCs w:val="20"/>
              </w:rPr>
              <w:t>2</w:t>
            </w:r>
          </w:p>
        </w:tc>
      </w:tr>
      <w:tr w:rsidR="00087906" w:rsidRPr="00C4542A" w:rsidTr="00A143A1">
        <w:trPr>
          <w:trHeight w:val="458"/>
        </w:trPr>
        <w:tc>
          <w:tcPr>
            <w:tcW w:w="3544" w:type="dxa"/>
            <w:tcBorders>
              <w:top w:val="single" w:sz="4" w:space="0" w:color="auto"/>
              <w:left w:val="single" w:sz="8" w:space="0" w:color="auto"/>
              <w:bottom w:val="single" w:sz="4" w:space="0" w:color="auto"/>
              <w:right w:val="single" w:sz="4" w:space="0" w:color="auto"/>
            </w:tcBorders>
            <w:noWrap/>
            <w:vAlign w:val="center"/>
          </w:tcPr>
          <w:p w:rsidR="00087906" w:rsidRPr="00C4542A" w:rsidRDefault="00087906" w:rsidP="000B0C1B">
            <w:pPr>
              <w:rPr>
                <w:sz w:val="20"/>
                <w:szCs w:val="20"/>
              </w:rPr>
            </w:pPr>
            <w:r w:rsidRPr="00C4542A">
              <w:rPr>
                <w:sz w:val="20"/>
                <w:szCs w:val="20"/>
              </w:rPr>
              <w:t>Příjmy celkem po konsolidaci</w:t>
            </w:r>
            <w:r w:rsidR="00AA76C9" w:rsidRPr="00C4542A">
              <w:rPr>
                <w:sz w:val="20"/>
                <w:szCs w:val="20"/>
              </w:rPr>
              <w:t xml:space="preserve"> </w:t>
            </w:r>
            <w:r w:rsidRPr="00C4542A">
              <w:rPr>
                <w:sz w:val="20"/>
                <w:szCs w:val="20"/>
              </w:rPr>
              <w:t>(třída 1 až 4)</w:t>
            </w:r>
          </w:p>
        </w:tc>
        <w:tc>
          <w:tcPr>
            <w:tcW w:w="992" w:type="dxa"/>
            <w:tcBorders>
              <w:top w:val="single" w:sz="4" w:space="0" w:color="auto"/>
              <w:left w:val="nil"/>
              <w:bottom w:val="single" w:sz="4" w:space="0" w:color="auto"/>
              <w:right w:val="single" w:sz="4" w:space="0" w:color="auto"/>
            </w:tcBorders>
            <w:vAlign w:val="center"/>
          </w:tcPr>
          <w:p w:rsidR="00FE4417" w:rsidRPr="00C4542A" w:rsidRDefault="00D01F0B" w:rsidP="00A143A1">
            <w:pPr>
              <w:rPr>
                <w:sz w:val="20"/>
                <w:szCs w:val="20"/>
              </w:rPr>
            </w:pPr>
            <w:r w:rsidRPr="00C4542A">
              <w:rPr>
                <w:sz w:val="20"/>
                <w:szCs w:val="20"/>
              </w:rPr>
              <w:t>581.</w:t>
            </w:r>
            <w:r w:rsidR="00CD4A5F" w:rsidRPr="00C4542A">
              <w:rPr>
                <w:sz w:val="20"/>
                <w:szCs w:val="20"/>
              </w:rPr>
              <w:t>550,</w:t>
            </w:r>
            <w:r w:rsidR="000F3DC2" w:rsidRPr="00C4542A">
              <w:rPr>
                <w:sz w:val="20"/>
                <w:szCs w:val="20"/>
              </w:rPr>
              <w:t>80</w:t>
            </w:r>
          </w:p>
        </w:tc>
        <w:tc>
          <w:tcPr>
            <w:tcW w:w="993" w:type="dxa"/>
            <w:tcBorders>
              <w:top w:val="single" w:sz="4" w:space="0" w:color="auto"/>
              <w:left w:val="single" w:sz="4" w:space="0" w:color="auto"/>
              <w:bottom w:val="single" w:sz="4" w:space="0" w:color="auto"/>
              <w:right w:val="single" w:sz="4" w:space="0" w:color="auto"/>
            </w:tcBorders>
            <w:noWrap/>
            <w:vAlign w:val="center"/>
          </w:tcPr>
          <w:p w:rsidR="00087906" w:rsidRPr="00C4542A" w:rsidRDefault="00CD4A5F" w:rsidP="001F54D2">
            <w:pPr>
              <w:jc w:val="right"/>
              <w:rPr>
                <w:sz w:val="20"/>
                <w:szCs w:val="20"/>
              </w:rPr>
            </w:pPr>
            <w:r w:rsidRPr="00C4542A">
              <w:rPr>
                <w:sz w:val="20"/>
                <w:szCs w:val="20"/>
              </w:rPr>
              <w:t>8</w:t>
            </w:r>
            <w:r w:rsidR="000F3DC2" w:rsidRPr="00C4542A">
              <w:rPr>
                <w:sz w:val="20"/>
                <w:szCs w:val="20"/>
              </w:rPr>
              <w:t>20.</w:t>
            </w:r>
            <w:r w:rsidRPr="00C4542A">
              <w:rPr>
                <w:sz w:val="20"/>
                <w:szCs w:val="20"/>
              </w:rPr>
              <w:t>563,9</w:t>
            </w:r>
            <w:r w:rsidR="000F3DC2" w:rsidRPr="00C4542A">
              <w:rPr>
                <w:sz w:val="20"/>
                <w:szCs w:val="20"/>
              </w:rPr>
              <w:t>0</w:t>
            </w:r>
          </w:p>
        </w:tc>
        <w:tc>
          <w:tcPr>
            <w:tcW w:w="992" w:type="dxa"/>
            <w:tcBorders>
              <w:top w:val="single" w:sz="4" w:space="0" w:color="auto"/>
              <w:left w:val="single" w:sz="4" w:space="0" w:color="auto"/>
              <w:bottom w:val="single" w:sz="4" w:space="0" w:color="auto"/>
              <w:right w:val="single" w:sz="4" w:space="0" w:color="auto"/>
            </w:tcBorders>
            <w:noWrap/>
            <w:vAlign w:val="center"/>
          </w:tcPr>
          <w:p w:rsidR="00087906" w:rsidRPr="00C4542A" w:rsidRDefault="00CD4A5F" w:rsidP="000F3DC2">
            <w:pPr>
              <w:jc w:val="right"/>
              <w:rPr>
                <w:sz w:val="20"/>
                <w:szCs w:val="20"/>
              </w:rPr>
            </w:pPr>
            <w:r w:rsidRPr="00C4542A">
              <w:rPr>
                <w:sz w:val="20"/>
                <w:szCs w:val="20"/>
              </w:rPr>
              <w:t>791</w:t>
            </w:r>
            <w:r w:rsidR="000F3DC2" w:rsidRPr="00C4542A">
              <w:rPr>
                <w:sz w:val="20"/>
                <w:szCs w:val="20"/>
              </w:rPr>
              <w:t>.</w:t>
            </w:r>
            <w:r w:rsidRPr="00C4542A">
              <w:rPr>
                <w:sz w:val="20"/>
                <w:szCs w:val="20"/>
              </w:rPr>
              <w:t>610,1</w:t>
            </w:r>
            <w:r w:rsidR="000F3DC2" w:rsidRPr="00C4542A">
              <w:rPr>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rsidR="00087906" w:rsidRPr="00C4542A" w:rsidRDefault="00CD4A5F" w:rsidP="00A143A1">
            <w:pPr>
              <w:jc w:val="center"/>
              <w:rPr>
                <w:sz w:val="20"/>
                <w:szCs w:val="20"/>
              </w:rPr>
            </w:pPr>
            <w:r w:rsidRPr="00C4542A">
              <w:rPr>
                <w:sz w:val="20"/>
                <w:szCs w:val="20"/>
              </w:rPr>
              <w:t>136</w:t>
            </w:r>
          </w:p>
        </w:tc>
        <w:tc>
          <w:tcPr>
            <w:tcW w:w="709" w:type="dxa"/>
            <w:tcBorders>
              <w:top w:val="single" w:sz="4" w:space="0" w:color="auto"/>
              <w:left w:val="single" w:sz="4" w:space="0" w:color="auto"/>
              <w:bottom w:val="single" w:sz="4" w:space="0" w:color="auto"/>
              <w:right w:val="single" w:sz="4" w:space="0" w:color="auto"/>
            </w:tcBorders>
            <w:vAlign w:val="center"/>
          </w:tcPr>
          <w:p w:rsidR="00087906" w:rsidRPr="00C4542A" w:rsidRDefault="00CD4A5F" w:rsidP="00A143A1">
            <w:pPr>
              <w:jc w:val="center"/>
              <w:rPr>
                <w:sz w:val="20"/>
                <w:szCs w:val="20"/>
              </w:rPr>
            </w:pPr>
            <w:r w:rsidRPr="00C4542A">
              <w:rPr>
                <w:sz w:val="20"/>
                <w:szCs w:val="20"/>
              </w:rPr>
              <w:t>96</w:t>
            </w:r>
          </w:p>
        </w:tc>
        <w:tc>
          <w:tcPr>
            <w:tcW w:w="1133" w:type="dxa"/>
            <w:tcBorders>
              <w:top w:val="single" w:sz="4" w:space="0" w:color="auto"/>
              <w:left w:val="single" w:sz="4" w:space="0" w:color="auto"/>
              <w:bottom w:val="single" w:sz="4" w:space="0" w:color="auto"/>
              <w:right w:val="single" w:sz="4" w:space="0" w:color="auto"/>
            </w:tcBorders>
            <w:vAlign w:val="center"/>
          </w:tcPr>
          <w:p w:rsidR="00087906" w:rsidRPr="00C4542A" w:rsidRDefault="000F3DC2" w:rsidP="008B4721">
            <w:pPr>
              <w:jc w:val="right"/>
              <w:rPr>
                <w:sz w:val="20"/>
                <w:szCs w:val="20"/>
              </w:rPr>
            </w:pPr>
            <w:r w:rsidRPr="00C4542A">
              <w:rPr>
                <w:sz w:val="20"/>
                <w:szCs w:val="20"/>
              </w:rPr>
              <w:t>741.</w:t>
            </w:r>
            <w:r w:rsidR="008B4721" w:rsidRPr="00C4542A">
              <w:rPr>
                <w:sz w:val="20"/>
                <w:szCs w:val="20"/>
              </w:rPr>
              <w:t>431,6</w:t>
            </w:r>
            <w:r w:rsidRPr="00C4542A">
              <w:rPr>
                <w:sz w:val="20"/>
                <w:szCs w:val="20"/>
              </w:rPr>
              <w:t>0</w:t>
            </w:r>
          </w:p>
        </w:tc>
      </w:tr>
      <w:tr w:rsidR="00087906" w:rsidRPr="00C4542A" w:rsidTr="00A143A1">
        <w:trPr>
          <w:trHeight w:val="346"/>
        </w:trPr>
        <w:tc>
          <w:tcPr>
            <w:tcW w:w="3544" w:type="dxa"/>
            <w:tcBorders>
              <w:top w:val="nil"/>
              <w:left w:val="single" w:sz="8" w:space="0" w:color="auto"/>
              <w:bottom w:val="single" w:sz="4" w:space="0" w:color="auto"/>
              <w:right w:val="single" w:sz="4" w:space="0" w:color="auto"/>
            </w:tcBorders>
            <w:noWrap/>
            <w:vAlign w:val="center"/>
          </w:tcPr>
          <w:p w:rsidR="00087906" w:rsidRPr="00C4542A" w:rsidRDefault="00087906" w:rsidP="000B0C1B">
            <w:pPr>
              <w:rPr>
                <w:sz w:val="20"/>
                <w:szCs w:val="20"/>
              </w:rPr>
            </w:pPr>
            <w:r w:rsidRPr="00C4542A">
              <w:rPr>
                <w:sz w:val="20"/>
                <w:szCs w:val="20"/>
              </w:rPr>
              <w:t>Výdaje celkem po konsolidaci (třída 5 a</w:t>
            </w:r>
            <w:r w:rsidR="00AA76C9" w:rsidRPr="00C4542A">
              <w:rPr>
                <w:sz w:val="20"/>
                <w:szCs w:val="20"/>
              </w:rPr>
              <w:t xml:space="preserve"> </w:t>
            </w:r>
            <w:r w:rsidRPr="00C4542A">
              <w:rPr>
                <w:sz w:val="20"/>
                <w:szCs w:val="20"/>
              </w:rPr>
              <w:t>6)</w:t>
            </w:r>
          </w:p>
        </w:tc>
        <w:tc>
          <w:tcPr>
            <w:tcW w:w="992" w:type="dxa"/>
            <w:tcBorders>
              <w:top w:val="nil"/>
              <w:left w:val="nil"/>
              <w:bottom w:val="single" w:sz="4" w:space="0" w:color="auto"/>
              <w:right w:val="single" w:sz="4" w:space="0" w:color="auto"/>
            </w:tcBorders>
            <w:vAlign w:val="center"/>
          </w:tcPr>
          <w:p w:rsidR="00087906" w:rsidRPr="00C4542A" w:rsidRDefault="00D01F0B" w:rsidP="005D74C4">
            <w:pPr>
              <w:jc w:val="right"/>
              <w:rPr>
                <w:sz w:val="20"/>
                <w:szCs w:val="20"/>
              </w:rPr>
            </w:pPr>
            <w:r w:rsidRPr="00C4542A">
              <w:rPr>
                <w:sz w:val="20"/>
                <w:szCs w:val="20"/>
              </w:rPr>
              <w:t>712.</w:t>
            </w:r>
            <w:r w:rsidR="00CD4A5F" w:rsidRPr="00C4542A">
              <w:rPr>
                <w:sz w:val="20"/>
                <w:szCs w:val="20"/>
              </w:rPr>
              <w:t>458,3</w:t>
            </w:r>
            <w:r w:rsidR="000F3DC2" w:rsidRPr="00C4542A">
              <w:rPr>
                <w:sz w:val="20"/>
                <w:szCs w:val="20"/>
              </w:rPr>
              <w:t>0</w:t>
            </w:r>
          </w:p>
        </w:tc>
        <w:tc>
          <w:tcPr>
            <w:tcW w:w="993" w:type="dxa"/>
            <w:tcBorders>
              <w:top w:val="nil"/>
              <w:left w:val="single" w:sz="4" w:space="0" w:color="auto"/>
              <w:bottom w:val="single" w:sz="4" w:space="0" w:color="auto"/>
              <w:right w:val="single" w:sz="4" w:space="0" w:color="auto"/>
            </w:tcBorders>
            <w:noWrap/>
            <w:vAlign w:val="center"/>
          </w:tcPr>
          <w:p w:rsidR="00087906" w:rsidRPr="00C4542A" w:rsidRDefault="000F3DC2" w:rsidP="005D74C4">
            <w:pPr>
              <w:jc w:val="right"/>
              <w:rPr>
                <w:sz w:val="20"/>
                <w:szCs w:val="20"/>
              </w:rPr>
            </w:pPr>
            <w:r w:rsidRPr="00C4542A">
              <w:rPr>
                <w:sz w:val="20"/>
                <w:szCs w:val="20"/>
              </w:rPr>
              <w:t>799.</w:t>
            </w:r>
            <w:r w:rsidR="00CD4A5F" w:rsidRPr="00C4542A">
              <w:rPr>
                <w:sz w:val="20"/>
                <w:szCs w:val="20"/>
              </w:rPr>
              <w:t>961,</w:t>
            </w:r>
            <w:r w:rsidRPr="00C4542A">
              <w:rPr>
                <w:sz w:val="20"/>
                <w:szCs w:val="20"/>
              </w:rPr>
              <w:t>0</w:t>
            </w:r>
            <w:r w:rsidR="00CD4A5F" w:rsidRPr="00C4542A">
              <w:rPr>
                <w:sz w:val="20"/>
                <w:szCs w:val="20"/>
              </w:rPr>
              <w:t>0</w:t>
            </w:r>
          </w:p>
        </w:tc>
        <w:tc>
          <w:tcPr>
            <w:tcW w:w="992" w:type="dxa"/>
            <w:tcBorders>
              <w:top w:val="nil"/>
              <w:left w:val="single" w:sz="4" w:space="0" w:color="auto"/>
              <w:bottom w:val="single" w:sz="4" w:space="0" w:color="auto"/>
              <w:right w:val="single" w:sz="4" w:space="0" w:color="auto"/>
            </w:tcBorders>
            <w:noWrap/>
            <w:vAlign w:val="center"/>
          </w:tcPr>
          <w:p w:rsidR="00087906" w:rsidRPr="00C4542A" w:rsidRDefault="00CD4A5F" w:rsidP="000F3DC2">
            <w:pPr>
              <w:jc w:val="right"/>
              <w:rPr>
                <w:sz w:val="20"/>
                <w:szCs w:val="20"/>
              </w:rPr>
            </w:pPr>
            <w:r w:rsidRPr="00C4542A">
              <w:rPr>
                <w:sz w:val="20"/>
                <w:szCs w:val="20"/>
              </w:rPr>
              <w:t>681</w:t>
            </w:r>
            <w:r w:rsidR="000F3DC2" w:rsidRPr="00C4542A">
              <w:rPr>
                <w:sz w:val="20"/>
                <w:szCs w:val="20"/>
              </w:rPr>
              <w:t>.</w:t>
            </w:r>
            <w:r w:rsidRPr="00C4542A">
              <w:rPr>
                <w:sz w:val="20"/>
                <w:szCs w:val="20"/>
              </w:rPr>
              <w:t>344,1</w:t>
            </w:r>
            <w:r w:rsidR="000F3DC2" w:rsidRPr="00C4542A">
              <w:rPr>
                <w:sz w:val="20"/>
                <w:szCs w:val="20"/>
              </w:rPr>
              <w:t>0</w:t>
            </w:r>
          </w:p>
        </w:tc>
        <w:tc>
          <w:tcPr>
            <w:tcW w:w="709" w:type="dxa"/>
            <w:tcBorders>
              <w:top w:val="nil"/>
              <w:left w:val="single" w:sz="4" w:space="0" w:color="auto"/>
              <w:bottom w:val="single" w:sz="4" w:space="0" w:color="auto"/>
              <w:right w:val="single" w:sz="4" w:space="0" w:color="auto"/>
            </w:tcBorders>
            <w:vAlign w:val="center"/>
          </w:tcPr>
          <w:p w:rsidR="00087906" w:rsidRPr="00C4542A" w:rsidRDefault="00CD4A5F" w:rsidP="00A143A1">
            <w:pPr>
              <w:jc w:val="center"/>
              <w:rPr>
                <w:sz w:val="20"/>
                <w:szCs w:val="20"/>
              </w:rPr>
            </w:pPr>
            <w:r w:rsidRPr="00C4542A">
              <w:rPr>
                <w:sz w:val="20"/>
                <w:szCs w:val="20"/>
              </w:rPr>
              <w:t>95</w:t>
            </w:r>
          </w:p>
        </w:tc>
        <w:tc>
          <w:tcPr>
            <w:tcW w:w="709" w:type="dxa"/>
            <w:tcBorders>
              <w:top w:val="nil"/>
              <w:left w:val="single" w:sz="4" w:space="0" w:color="auto"/>
              <w:bottom w:val="single" w:sz="4" w:space="0" w:color="auto"/>
              <w:right w:val="single" w:sz="4" w:space="0" w:color="auto"/>
            </w:tcBorders>
            <w:vAlign w:val="center"/>
          </w:tcPr>
          <w:p w:rsidR="00087906" w:rsidRPr="00C4542A" w:rsidRDefault="00CD4A5F" w:rsidP="00A143A1">
            <w:pPr>
              <w:jc w:val="center"/>
              <w:rPr>
                <w:sz w:val="20"/>
                <w:szCs w:val="20"/>
              </w:rPr>
            </w:pPr>
            <w:r w:rsidRPr="00C4542A">
              <w:rPr>
                <w:sz w:val="20"/>
                <w:szCs w:val="20"/>
              </w:rPr>
              <w:t>85</w:t>
            </w:r>
          </w:p>
        </w:tc>
        <w:tc>
          <w:tcPr>
            <w:tcW w:w="1133" w:type="dxa"/>
            <w:tcBorders>
              <w:top w:val="nil"/>
              <w:left w:val="single" w:sz="4" w:space="0" w:color="auto"/>
              <w:bottom w:val="single" w:sz="4" w:space="0" w:color="auto"/>
              <w:right w:val="single" w:sz="4" w:space="0" w:color="auto"/>
            </w:tcBorders>
            <w:vAlign w:val="center"/>
          </w:tcPr>
          <w:p w:rsidR="00087906" w:rsidRPr="00C4542A" w:rsidRDefault="000F3DC2" w:rsidP="00E91FA1">
            <w:pPr>
              <w:jc w:val="right"/>
              <w:rPr>
                <w:sz w:val="20"/>
                <w:szCs w:val="20"/>
              </w:rPr>
            </w:pPr>
            <w:r w:rsidRPr="00C4542A">
              <w:rPr>
                <w:sz w:val="20"/>
                <w:szCs w:val="20"/>
              </w:rPr>
              <w:t>592.</w:t>
            </w:r>
            <w:r w:rsidR="008B4721" w:rsidRPr="00C4542A">
              <w:rPr>
                <w:sz w:val="20"/>
                <w:szCs w:val="20"/>
              </w:rPr>
              <w:t>956,4</w:t>
            </w:r>
            <w:r w:rsidRPr="00C4542A">
              <w:rPr>
                <w:sz w:val="20"/>
                <w:szCs w:val="20"/>
              </w:rPr>
              <w:t>0</w:t>
            </w:r>
          </w:p>
        </w:tc>
      </w:tr>
      <w:tr w:rsidR="00087906" w:rsidRPr="00C4542A" w:rsidTr="00A143A1">
        <w:trPr>
          <w:trHeight w:val="421"/>
        </w:trPr>
        <w:tc>
          <w:tcPr>
            <w:tcW w:w="3544" w:type="dxa"/>
            <w:tcBorders>
              <w:top w:val="nil"/>
              <w:left w:val="single" w:sz="8" w:space="0" w:color="auto"/>
              <w:bottom w:val="single" w:sz="4" w:space="0" w:color="auto"/>
              <w:right w:val="single" w:sz="4" w:space="0" w:color="auto"/>
            </w:tcBorders>
            <w:noWrap/>
            <w:vAlign w:val="center"/>
          </w:tcPr>
          <w:p w:rsidR="00087906" w:rsidRPr="00C4542A" w:rsidRDefault="00087906" w:rsidP="00383BCF">
            <w:pPr>
              <w:rPr>
                <w:b/>
                <w:sz w:val="20"/>
                <w:szCs w:val="20"/>
              </w:rPr>
            </w:pPr>
            <w:r w:rsidRPr="00C4542A">
              <w:rPr>
                <w:b/>
                <w:sz w:val="20"/>
                <w:szCs w:val="20"/>
              </w:rPr>
              <w:t>Saldo</w:t>
            </w:r>
            <w:r w:rsidR="00AA76C9" w:rsidRPr="00C4542A">
              <w:rPr>
                <w:b/>
                <w:sz w:val="20"/>
                <w:szCs w:val="20"/>
              </w:rPr>
              <w:t xml:space="preserve"> </w:t>
            </w:r>
            <w:r w:rsidRPr="00C4542A">
              <w:rPr>
                <w:b/>
                <w:sz w:val="20"/>
                <w:szCs w:val="20"/>
              </w:rPr>
              <w:t xml:space="preserve">příjmů a výdajů po konsolidaci </w:t>
            </w:r>
          </w:p>
        </w:tc>
        <w:tc>
          <w:tcPr>
            <w:tcW w:w="992" w:type="dxa"/>
            <w:tcBorders>
              <w:top w:val="nil"/>
              <w:left w:val="nil"/>
              <w:bottom w:val="single" w:sz="4" w:space="0" w:color="auto"/>
              <w:right w:val="single" w:sz="4" w:space="0" w:color="auto"/>
            </w:tcBorders>
            <w:vAlign w:val="center"/>
          </w:tcPr>
          <w:p w:rsidR="00087906" w:rsidRPr="00C4542A" w:rsidRDefault="00D01F0B" w:rsidP="005D74C4">
            <w:pPr>
              <w:jc w:val="right"/>
              <w:rPr>
                <w:sz w:val="20"/>
                <w:szCs w:val="20"/>
              </w:rPr>
            </w:pPr>
            <w:r w:rsidRPr="00C4542A">
              <w:rPr>
                <w:sz w:val="20"/>
                <w:szCs w:val="20"/>
              </w:rPr>
              <w:t>-130.</w:t>
            </w:r>
            <w:r w:rsidR="00CD4A5F" w:rsidRPr="00C4542A">
              <w:rPr>
                <w:sz w:val="20"/>
                <w:szCs w:val="20"/>
              </w:rPr>
              <w:t>907,5</w:t>
            </w:r>
            <w:r w:rsidR="000F3DC2" w:rsidRPr="00C4542A">
              <w:rPr>
                <w:sz w:val="20"/>
                <w:szCs w:val="20"/>
              </w:rPr>
              <w:t>0</w:t>
            </w:r>
          </w:p>
        </w:tc>
        <w:tc>
          <w:tcPr>
            <w:tcW w:w="993" w:type="dxa"/>
            <w:tcBorders>
              <w:top w:val="nil"/>
              <w:left w:val="single" w:sz="4" w:space="0" w:color="auto"/>
              <w:bottom w:val="single" w:sz="4" w:space="0" w:color="auto"/>
              <w:right w:val="single" w:sz="4" w:space="0" w:color="auto"/>
            </w:tcBorders>
            <w:noWrap/>
            <w:vAlign w:val="center"/>
          </w:tcPr>
          <w:p w:rsidR="00087906" w:rsidRPr="00C4542A" w:rsidRDefault="000F3DC2" w:rsidP="005D74C4">
            <w:pPr>
              <w:jc w:val="right"/>
              <w:rPr>
                <w:sz w:val="20"/>
                <w:szCs w:val="20"/>
              </w:rPr>
            </w:pPr>
            <w:r w:rsidRPr="00C4542A">
              <w:rPr>
                <w:sz w:val="20"/>
                <w:szCs w:val="20"/>
              </w:rPr>
              <w:t>20.</w:t>
            </w:r>
            <w:r w:rsidR="00CD4A5F" w:rsidRPr="00C4542A">
              <w:rPr>
                <w:sz w:val="20"/>
                <w:szCs w:val="20"/>
              </w:rPr>
              <w:t>602,9</w:t>
            </w:r>
            <w:r w:rsidRPr="00C4542A">
              <w:rPr>
                <w:sz w:val="20"/>
                <w:szCs w:val="20"/>
              </w:rPr>
              <w:t>0</w:t>
            </w:r>
          </w:p>
        </w:tc>
        <w:tc>
          <w:tcPr>
            <w:tcW w:w="992" w:type="dxa"/>
            <w:tcBorders>
              <w:top w:val="nil"/>
              <w:left w:val="single" w:sz="4" w:space="0" w:color="auto"/>
              <w:bottom w:val="single" w:sz="4" w:space="0" w:color="auto"/>
              <w:right w:val="single" w:sz="4" w:space="0" w:color="auto"/>
            </w:tcBorders>
            <w:noWrap/>
            <w:vAlign w:val="center"/>
          </w:tcPr>
          <w:p w:rsidR="00087906" w:rsidRPr="00C4542A" w:rsidRDefault="000F3DC2" w:rsidP="00CD4A5F">
            <w:pPr>
              <w:jc w:val="right"/>
              <w:rPr>
                <w:sz w:val="20"/>
                <w:szCs w:val="20"/>
              </w:rPr>
            </w:pPr>
            <w:r w:rsidRPr="00C4542A">
              <w:rPr>
                <w:sz w:val="20"/>
                <w:szCs w:val="20"/>
              </w:rPr>
              <w:t>110.</w:t>
            </w:r>
            <w:r w:rsidR="00CD4A5F" w:rsidRPr="00C4542A">
              <w:rPr>
                <w:sz w:val="20"/>
                <w:szCs w:val="20"/>
              </w:rPr>
              <w:t>266,</w:t>
            </w:r>
            <w:r w:rsidRPr="00C4542A">
              <w:rPr>
                <w:sz w:val="20"/>
                <w:szCs w:val="20"/>
              </w:rPr>
              <w:t>0</w:t>
            </w:r>
            <w:r w:rsidR="00CD4A5F" w:rsidRPr="00C4542A">
              <w:rPr>
                <w:sz w:val="20"/>
                <w:szCs w:val="20"/>
              </w:rPr>
              <w:t>0</w:t>
            </w:r>
          </w:p>
        </w:tc>
        <w:tc>
          <w:tcPr>
            <w:tcW w:w="709" w:type="dxa"/>
            <w:tcBorders>
              <w:top w:val="nil"/>
              <w:left w:val="single" w:sz="4" w:space="0" w:color="auto"/>
              <w:bottom w:val="single" w:sz="4" w:space="0" w:color="auto"/>
              <w:right w:val="single" w:sz="4" w:space="0" w:color="auto"/>
            </w:tcBorders>
            <w:vAlign w:val="center"/>
          </w:tcPr>
          <w:p w:rsidR="00087906" w:rsidRPr="00C4542A" w:rsidRDefault="00087906" w:rsidP="00A143A1">
            <w:pPr>
              <w:jc w:val="center"/>
              <w:rPr>
                <w:sz w:val="20"/>
                <w:szCs w:val="20"/>
              </w:rPr>
            </w:pPr>
          </w:p>
        </w:tc>
        <w:tc>
          <w:tcPr>
            <w:tcW w:w="709" w:type="dxa"/>
            <w:tcBorders>
              <w:top w:val="nil"/>
              <w:left w:val="single" w:sz="4" w:space="0" w:color="auto"/>
              <w:bottom w:val="single" w:sz="4" w:space="0" w:color="auto"/>
              <w:right w:val="single" w:sz="4" w:space="0" w:color="auto"/>
            </w:tcBorders>
            <w:vAlign w:val="center"/>
          </w:tcPr>
          <w:p w:rsidR="00087906" w:rsidRPr="00C4542A" w:rsidRDefault="00087906" w:rsidP="00A143A1">
            <w:pPr>
              <w:jc w:val="center"/>
              <w:rPr>
                <w:sz w:val="20"/>
                <w:szCs w:val="20"/>
              </w:rPr>
            </w:pPr>
          </w:p>
        </w:tc>
        <w:tc>
          <w:tcPr>
            <w:tcW w:w="1133" w:type="dxa"/>
            <w:tcBorders>
              <w:top w:val="nil"/>
              <w:left w:val="single" w:sz="4" w:space="0" w:color="auto"/>
              <w:bottom w:val="single" w:sz="4" w:space="0" w:color="auto"/>
              <w:right w:val="single" w:sz="4" w:space="0" w:color="auto"/>
            </w:tcBorders>
            <w:vAlign w:val="center"/>
          </w:tcPr>
          <w:p w:rsidR="00087906" w:rsidRPr="00C4542A" w:rsidRDefault="008B4721" w:rsidP="000F3DC2">
            <w:pPr>
              <w:jc w:val="right"/>
              <w:rPr>
                <w:sz w:val="20"/>
                <w:szCs w:val="20"/>
              </w:rPr>
            </w:pPr>
            <w:r w:rsidRPr="00C4542A">
              <w:rPr>
                <w:sz w:val="20"/>
                <w:szCs w:val="20"/>
              </w:rPr>
              <w:t>148</w:t>
            </w:r>
            <w:r w:rsidR="000F3DC2" w:rsidRPr="00C4542A">
              <w:rPr>
                <w:sz w:val="20"/>
                <w:szCs w:val="20"/>
              </w:rPr>
              <w:t>.</w:t>
            </w:r>
            <w:r w:rsidRPr="00C4542A">
              <w:rPr>
                <w:sz w:val="20"/>
                <w:szCs w:val="20"/>
              </w:rPr>
              <w:t>475,2</w:t>
            </w:r>
            <w:r w:rsidR="000F3DC2" w:rsidRPr="00C4542A">
              <w:rPr>
                <w:sz w:val="20"/>
                <w:szCs w:val="20"/>
              </w:rPr>
              <w:t>0</w:t>
            </w:r>
          </w:p>
        </w:tc>
      </w:tr>
      <w:tr w:rsidR="00087906" w:rsidRPr="00C4542A" w:rsidTr="00A143A1">
        <w:trPr>
          <w:trHeight w:val="552"/>
        </w:trPr>
        <w:tc>
          <w:tcPr>
            <w:tcW w:w="3544" w:type="dxa"/>
            <w:tcBorders>
              <w:top w:val="nil"/>
              <w:left w:val="single" w:sz="8" w:space="0" w:color="auto"/>
              <w:bottom w:val="single" w:sz="4" w:space="0" w:color="auto"/>
              <w:right w:val="single" w:sz="4" w:space="0" w:color="auto"/>
            </w:tcBorders>
            <w:shd w:val="clear" w:color="auto" w:fill="EEECE1"/>
            <w:noWrap/>
            <w:vAlign w:val="center"/>
          </w:tcPr>
          <w:p w:rsidR="00087906" w:rsidRPr="00C4542A" w:rsidRDefault="00087906" w:rsidP="00CD4A5F">
            <w:pPr>
              <w:rPr>
                <w:b/>
                <w:sz w:val="20"/>
                <w:szCs w:val="20"/>
              </w:rPr>
            </w:pPr>
            <w:r w:rsidRPr="00C4542A">
              <w:rPr>
                <w:b/>
                <w:sz w:val="20"/>
                <w:szCs w:val="20"/>
              </w:rPr>
              <w:t xml:space="preserve">Financování celkem po konsolidaci </w:t>
            </w:r>
          </w:p>
        </w:tc>
        <w:tc>
          <w:tcPr>
            <w:tcW w:w="992" w:type="dxa"/>
            <w:tcBorders>
              <w:top w:val="nil"/>
              <w:left w:val="nil"/>
              <w:bottom w:val="single" w:sz="4" w:space="0" w:color="auto"/>
              <w:right w:val="single" w:sz="4" w:space="0" w:color="auto"/>
            </w:tcBorders>
            <w:shd w:val="clear" w:color="auto" w:fill="EEECE1"/>
            <w:vAlign w:val="center"/>
          </w:tcPr>
          <w:p w:rsidR="00087906" w:rsidRPr="00C4542A" w:rsidRDefault="008F3239" w:rsidP="000F3DC2">
            <w:pPr>
              <w:jc w:val="right"/>
              <w:rPr>
                <w:b/>
                <w:sz w:val="20"/>
                <w:szCs w:val="20"/>
              </w:rPr>
            </w:pPr>
            <w:r>
              <w:rPr>
                <w:b/>
                <w:sz w:val="20"/>
                <w:szCs w:val="20"/>
              </w:rPr>
              <w:t>-</w:t>
            </w:r>
            <w:r w:rsidR="00CD4A5F" w:rsidRPr="00C4542A">
              <w:rPr>
                <w:b/>
                <w:sz w:val="20"/>
                <w:szCs w:val="20"/>
              </w:rPr>
              <w:t>130</w:t>
            </w:r>
            <w:r w:rsidR="000F3DC2" w:rsidRPr="00C4542A">
              <w:rPr>
                <w:b/>
                <w:sz w:val="20"/>
                <w:szCs w:val="20"/>
              </w:rPr>
              <w:t>.</w:t>
            </w:r>
            <w:r w:rsidR="00CD4A5F" w:rsidRPr="00C4542A">
              <w:rPr>
                <w:b/>
                <w:sz w:val="20"/>
                <w:szCs w:val="20"/>
              </w:rPr>
              <w:t>907,5</w:t>
            </w:r>
            <w:r w:rsidR="000F3DC2" w:rsidRPr="00C4542A">
              <w:rPr>
                <w:b/>
                <w:sz w:val="20"/>
                <w:szCs w:val="20"/>
              </w:rPr>
              <w:t>0</w:t>
            </w:r>
          </w:p>
        </w:tc>
        <w:tc>
          <w:tcPr>
            <w:tcW w:w="993" w:type="dxa"/>
            <w:tcBorders>
              <w:top w:val="nil"/>
              <w:left w:val="single" w:sz="4" w:space="0" w:color="auto"/>
              <w:bottom w:val="single" w:sz="4" w:space="0" w:color="auto"/>
              <w:right w:val="single" w:sz="4" w:space="0" w:color="auto"/>
            </w:tcBorders>
            <w:shd w:val="clear" w:color="auto" w:fill="EEECE1"/>
            <w:noWrap/>
            <w:vAlign w:val="center"/>
          </w:tcPr>
          <w:p w:rsidR="00087906" w:rsidRPr="00C4542A" w:rsidRDefault="00CD4A5F" w:rsidP="000F3DC2">
            <w:pPr>
              <w:jc w:val="right"/>
              <w:rPr>
                <w:b/>
                <w:sz w:val="20"/>
                <w:szCs w:val="20"/>
              </w:rPr>
            </w:pPr>
            <w:r w:rsidRPr="00C4542A">
              <w:rPr>
                <w:b/>
                <w:sz w:val="20"/>
                <w:szCs w:val="20"/>
              </w:rPr>
              <w:t>20</w:t>
            </w:r>
            <w:r w:rsidR="000F3DC2" w:rsidRPr="00C4542A">
              <w:rPr>
                <w:b/>
                <w:sz w:val="20"/>
                <w:szCs w:val="20"/>
              </w:rPr>
              <w:t>.</w:t>
            </w:r>
            <w:r w:rsidRPr="00C4542A">
              <w:rPr>
                <w:b/>
                <w:sz w:val="20"/>
                <w:szCs w:val="20"/>
              </w:rPr>
              <w:t>602,9</w:t>
            </w:r>
            <w:r w:rsidR="000F3DC2" w:rsidRPr="00C4542A">
              <w:rPr>
                <w:b/>
                <w:sz w:val="20"/>
                <w:szCs w:val="20"/>
              </w:rPr>
              <w:t>0</w:t>
            </w:r>
          </w:p>
        </w:tc>
        <w:tc>
          <w:tcPr>
            <w:tcW w:w="992" w:type="dxa"/>
            <w:tcBorders>
              <w:top w:val="nil"/>
              <w:left w:val="single" w:sz="4" w:space="0" w:color="auto"/>
              <w:bottom w:val="single" w:sz="4" w:space="0" w:color="auto"/>
              <w:right w:val="single" w:sz="4" w:space="0" w:color="auto"/>
            </w:tcBorders>
            <w:shd w:val="clear" w:color="auto" w:fill="EEECE1"/>
            <w:noWrap/>
            <w:vAlign w:val="center"/>
          </w:tcPr>
          <w:p w:rsidR="00087906" w:rsidRPr="00C4542A" w:rsidRDefault="00CD4A5F" w:rsidP="000F3DC2">
            <w:pPr>
              <w:jc w:val="right"/>
              <w:rPr>
                <w:b/>
                <w:sz w:val="20"/>
                <w:szCs w:val="20"/>
              </w:rPr>
            </w:pPr>
            <w:r w:rsidRPr="00C4542A">
              <w:rPr>
                <w:b/>
                <w:sz w:val="20"/>
                <w:szCs w:val="20"/>
              </w:rPr>
              <w:t>1</w:t>
            </w:r>
            <w:r w:rsidR="000F3DC2" w:rsidRPr="00C4542A">
              <w:rPr>
                <w:b/>
                <w:sz w:val="20"/>
                <w:szCs w:val="20"/>
              </w:rPr>
              <w:t>10.</w:t>
            </w:r>
            <w:r w:rsidRPr="00C4542A">
              <w:rPr>
                <w:b/>
                <w:sz w:val="20"/>
                <w:szCs w:val="20"/>
              </w:rPr>
              <w:t>266,0</w:t>
            </w:r>
            <w:r w:rsidR="000F3DC2" w:rsidRPr="00C4542A">
              <w:rPr>
                <w:b/>
                <w:sz w:val="20"/>
                <w:szCs w:val="20"/>
              </w:rPr>
              <w:t>0</w:t>
            </w:r>
          </w:p>
        </w:tc>
        <w:tc>
          <w:tcPr>
            <w:tcW w:w="709" w:type="dxa"/>
            <w:tcBorders>
              <w:top w:val="nil"/>
              <w:left w:val="single" w:sz="4" w:space="0" w:color="auto"/>
              <w:bottom w:val="single" w:sz="4" w:space="0" w:color="auto"/>
              <w:right w:val="single" w:sz="4" w:space="0" w:color="auto"/>
            </w:tcBorders>
            <w:shd w:val="clear" w:color="auto" w:fill="EEECE1"/>
            <w:vAlign w:val="center"/>
          </w:tcPr>
          <w:p w:rsidR="00087906" w:rsidRPr="00C4542A" w:rsidRDefault="00087906" w:rsidP="00A143A1">
            <w:pPr>
              <w:jc w:val="center"/>
              <w:rPr>
                <w:b/>
                <w:sz w:val="20"/>
                <w:szCs w:val="20"/>
              </w:rPr>
            </w:pPr>
          </w:p>
        </w:tc>
        <w:tc>
          <w:tcPr>
            <w:tcW w:w="709" w:type="dxa"/>
            <w:tcBorders>
              <w:top w:val="nil"/>
              <w:left w:val="single" w:sz="4" w:space="0" w:color="auto"/>
              <w:bottom w:val="single" w:sz="4" w:space="0" w:color="auto"/>
              <w:right w:val="single" w:sz="4" w:space="0" w:color="auto"/>
            </w:tcBorders>
            <w:shd w:val="clear" w:color="auto" w:fill="EEECE1"/>
            <w:vAlign w:val="center"/>
          </w:tcPr>
          <w:p w:rsidR="00087906" w:rsidRPr="00C4542A" w:rsidRDefault="00087906" w:rsidP="00CD4A5F">
            <w:pPr>
              <w:jc w:val="right"/>
              <w:rPr>
                <w:b/>
                <w:sz w:val="20"/>
                <w:szCs w:val="20"/>
              </w:rPr>
            </w:pPr>
          </w:p>
        </w:tc>
        <w:tc>
          <w:tcPr>
            <w:tcW w:w="1133" w:type="dxa"/>
            <w:tcBorders>
              <w:top w:val="nil"/>
              <w:left w:val="single" w:sz="4" w:space="0" w:color="auto"/>
              <w:bottom w:val="single" w:sz="4" w:space="0" w:color="auto"/>
              <w:right w:val="single" w:sz="4" w:space="0" w:color="auto"/>
            </w:tcBorders>
            <w:shd w:val="clear" w:color="auto" w:fill="EEECE1"/>
            <w:vAlign w:val="center"/>
          </w:tcPr>
          <w:p w:rsidR="00087906" w:rsidRPr="00C4542A" w:rsidRDefault="000F3DC2" w:rsidP="00CD4A5F">
            <w:pPr>
              <w:jc w:val="right"/>
              <w:rPr>
                <w:b/>
                <w:sz w:val="20"/>
                <w:szCs w:val="20"/>
              </w:rPr>
            </w:pPr>
            <w:r w:rsidRPr="00C4542A">
              <w:rPr>
                <w:b/>
                <w:sz w:val="20"/>
                <w:szCs w:val="20"/>
              </w:rPr>
              <w:t>148.475,20</w:t>
            </w:r>
          </w:p>
        </w:tc>
      </w:tr>
    </w:tbl>
    <w:p w:rsidR="00DB7E33" w:rsidRDefault="00DB7E33" w:rsidP="00444653">
      <w:pPr>
        <w:jc w:val="both"/>
        <w:rPr>
          <w:sz w:val="22"/>
          <w:szCs w:val="22"/>
        </w:rPr>
      </w:pPr>
    </w:p>
    <w:p w:rsidR="00B50F7A" w:rsidRPr="008F3239" w:rsidRDefault="00876388" w:rsidP="00355E89">
      <w:pPr>
        <w:jc w:val="both"/>
        <w:rPr>
          <w:b/>
          <w:i/>
          <w:sz w:val="22"/>
          <w:szCs w:val="22"/>
        </w:rPr>
      </w:pPr>
      <w:r w:rsidRPr="008F3239">
        <w:rPr>
          <w:b/>
          <w:i/>
          <w:sz w:val="22"/>
          <w:szCs w:val="22"/>
        </w:rPr>
        <w:t xml:space="preserve">V hlavní činnosti skončilo finanční </w:t>
      </w:r>
      <w:r w:rsidR="00417DB3" w:rsidRPr="008F3239">
        <w:rPr>
          <w:b/>
          <w:i/>
          <w:sz w:val="22"/>
          <w:szCs w:val="22"/>
        </w:rPr>
        <w:t xml:space="preserve">rozpočtové </w:t>
      </w:r>
      <w:r w:rsidRPr="008F3239">
        <w:rPr>
          <w:b/>
          <w:i/>
          <w:sz w:val="22"/>
          <w:szCs w:val="22"/>
        </w:rPr>
        <w:t>hospodaření za rok 201</w:t>
      </w:r>
      <w:r w:rsidR="006F21BF" w:rsidRPr="008F3239">
        <w:rPr>
          <w:b/>
          <w:i/>
          <w:sz w:val="22"/>
          <w:szCs w:val="22"/>
        </w:rPr>
        <w:t>3</w:t>
      </w:r>
      <w:r w:rsidRPr="008F3239">
        <w:rPr>
          <w:b/>
          <w:i/>
          <w:sz w:val="22"/>
          <w:szCs w:val="22"/>
        </w:rPr>
        <w:t xml:space="preserve"> </w:t>
      </w:r>
      <w:r w:rsidR="00E814E5" w:rsidRPr="008F3239">
        <w:rPr>
          <w:b/>
          <w:i/>
          <w:sz w:val="22"/>
          <w:szCs w:val="22"/>
        </w:rPr>
        <w:t xml:space="preserve">přebytkem </w:t>
      </w:r>
      <w:r w:rsidR="006710DD" w:rsidRPr="008F3239">
        <w:rPr>
          <w:b/>
          <w:i/>
          <w:sz w:val="22"/>
          <w:szCs w:val="22"/>
        </w:rPr>
        <w:t xml:space="preserve">ve výši </w:t>
      </w:r>
      <w:r w:rsidR="003042E4" w:rsidRPr="008F3239">
        <w:rPr>
          <w:b/>
          <w:i/>
          <w:sz w:val="22"/>
          <w:szCs w:val="22"/>
        </w:rPr>
        <w:t>1</w:t>
      </w:r>
      <w:r w:rsidR="0079269D" w:rsidRPr="008F3239">
        <w:rPr>
          <w:b/>
          <w:i/>
          <w:sz w:val="22"/>
          <w:szCs w:val="22"/>
        </w:rPr>
        <w:t>10.266.010,64</w:t>
      </w:r>
      <w:r w:rsidR="005E1108" w:rsidRPr="008F3239">
        <w:rPr>
          <w:b/>
          <w:i/>
          <w:sz w:val="22"/>
          <w:szCs w:val="22"/>
        </w:rPr>
        <w:t> Kč</w:t>
      </w:r>
      <w:r w:rsidR="008F3239" w:rsidRPr="008F3239">
        <w:rPr>
          <w:b/>
          <w:i/>
          <w:sz w:val="22"/>
          <w:szCs w:val="22"/>
        </w:rPr>
        <w:t xml:space="preserve">. </w:t>
      </w:r>
    </w:p>
    <w:p w:rsidR="00B50F7A" w:rsidRDefault="00B50F7A" w:rsidP="00355E89">
      <w:pPr>
        <w:jc w:val="both"/>
        <w:rPr>
          <w:sz w:val="22"/>
          <w:szCs w:val="22"/>
        </w:rPr>
      </w:pPr>
    </w:p>
    <w:p w:rsidR="008466FA" w:rsidRDefault="004B2C01" w:rsidP="00594DFD">
      <w:pPr>
        <w:jc w:val="both"/>
        <w:rPr>
          <w:rStyle w:val="Siln"/>
          <w:b w:val="0"/>
          <w:bCs w:val="0"/>
          <w:sz w:val="22"/>
          <w:szCs w:val="22"/>
        </w:rPr>
      </w:pPr>
      <w:r w:rsidRPr="009F3D98">
        <w:rPr>
          <w:sz w:val="22"/>
          <w:szCs w:val="22"/>
        </w:rPr>
        <w:t>Schválený rozpočet na rok 2013 byl</w:t>
      </w:r>
      <w:r>
        <w:rPr>
          <w:sz w:val="22"/>
          <w:szCs w:val="22"/>
        </w:rPr>
        <w:t xml:space="preserve"> plánován jako schodkový a na straně příjmů byl dorovnán finan</w:t>
      </w:r>
      <w:r>
        <w:rPr>
          <w:sz w:val="22"/>
          <w:szCs w:val="22"/>
        </w:rPr>
        <w:t>č</w:t>
      </w:r>
      <w:r>
        <w:rPr>
          <w:sz w:val="22"/>
          <w:szCs w:val="22"/>
        </w:rPr>
        <w:t>ní prostředky z minulých let, prostřednictvím třídy 8 – financování.</w:t>
      </w:r>
      <w:r w:rsidR="00AA76C9">
        <w:rPr>
          <w:sz w:val="22"/>
          <w:szCs w:val="22"/>
        </w:rPr>
        <w:t xml:space="preserve"> </w:t>
      </w:r>
      <w:r w:rsidR="00FE0BA4">
        <w:rPr>
          <w:sz w:val="22"/>
          <w:szCs w:val="22"/>
        </w:rPr>
        <w:t>Dosažený zlepšený výsledek ho</w:t>
      </w:r>
      <w:r w:rsidR="00FE0BA4">
        <w:rPr>
          <w:sz w:val="22"/>
          <w:szCs w:val="22"/>
        </w:rPr>
        <w:t>s</w:t>
      </w:r>
      <w:r w:rsidR="00FE0BA4">
        <w:rPr>
          <w:sz w:val="22"/>
          <w:szCs w:val="22"/>
        </w:rPr>
        <w:t xml:space="preserve">podaření ovlivňuje zejména nižší čerpání investičních výdajů (72 %), </w:t>
      </w:r>
      <w:r w:rsidR="00594DFD">
        <w:rPr>
          <w:sz w:val="22"/>
          <w:szCs w:val="22"/>
        </w:rPr>
        <w:t>z důvodu přesunu některých velkých projektů k realizaci v roce 2014 (např. Revitalizace pěších zón a parků na Barrandově ve výši 40 mil.</w:t>
      </w:r>
      <w:r w:rsidR="00D01F0B">
        <w:rPr>
          <w:sz w:val="22"/>
          <w:szCs w:val="22"/>
        </w:rPr>
        <w:t> </w:t>
      </w:r>
      <w:r w:rsidR="00594DFD">
        <w:rPr>
          <w:sz w:val="22"/>
          <w:szCs w:val="22"/>
        </w:rPr>
        <w:t>Kč, Pod Žvahovem 463, Praha 5 – stavební úpravy nutné k odstranění závad objektu ve výši 22 mil.</w:t>
      </w:r>
      <w:r w:rsidR="00D01F0B">
        <w:rPr>
          <w:sz w:val="22"/>
          <w:szCs w:val="22"/>
        </w:rPr>
        <w:t> </w:t>
      </w:r>
      <w:r w:rsidR="00594DFD">
        <w:rPr>
          <w:sz w:val="22"/>
          <w:szCs w:val="22"/>
        </w:rPr>
        <w:t xml:space="preserve">Kč, kompletní rekonstrukce Dětského ostrova po povodni v roce 2013 ve výši 13.649 </w:t>
      </w:r>
      <w:r w:rsidR="005E1108">
        <w:rPr>
          <w:sz w:val="22"/>
          <w:szCs w:val="22"/>
        </w:rPr>
        <w:t>tis. Kč</w:t>
      </w:r>
      <w:r w:rsidR="00594DFD">
        <w:rPr>
          <w:sz w:val="22"/>
          <w:szCs w:val="22"/>
        </w:rPr>
        <w:t xml:space="preserve"> ad.). Zlepšený </w:t>
      </w:r>
      <w:r w:rsidR="00D0552B">
        <w:rPr>
          <w:sz w:val="22"/>
          <w:szCs w:val="22"/>
        </w:rPr>
        <w:t>výsledek hospodaření</w:t>
      </w:r>
      <w:r w:rsidR="00594DFD">
        <w:rPr>
          <w:sz w:val="22"/>
          <w:szCs w:val="22"/>
        </w:rPr>
        <w:t xml:space="preserve"> ovlivnil rovněž i převod finančních prostředků z</w:t>
      </w:r>
      <w:r w:rsidR="00D0552B">
        <w:rPr>
          <w:sz w:val="22"/>
          <w:szCs w:val="22"/>
        </w:rPr>
        <w:t> výsledku hosp</w:t>
      </w:r>
      <w:r w:rsidR="00D0552B">
        <w:rPr>
          <w:sz w:val="22"/>
          <w:szCs w:val="22"/>
        </w:rPr>
        <w:t>o</w:t>
      </w:r>
      <w:r w:rsidR="00D0552B">
        <w:rPr>
          <w:sz w:val="22"/>
          <w:szCs w:val="22"/>
        </w:rPr>
        <w:t>daření</w:t>
      </w:r>
      <w:r w:rsidR="00594DFD">
        <w:rPr>
          <w:sz w:val="22"/>
          <w:szCs w:val="22"/>
        </w:rPr>
        <w:t xml:space="preserve"> minulých účetních období ze zdaňované činnosti do příjmů rozpočtu ve výši 100 mil.</w:t>
      </w:r>
      <w:r w:rsidR="005E1108">
        <w:rPr>
          <w:sz w:val="22"/>
          <w:szCs w:val="22"/>
        </w:rPr>
        <w:t> Kč</w:t>
      </w:r>
      <w:r w:rsidR="00594DFD">
        <w:rPr>
          <w:sz w:val="22"/>
          <w:szCs w:val="22"/>
        </w:rPr>
        <w:t xml:space="preserve"> s následným převodem do fondu rezerv a rozvoje.</w:t>
      </w:r>
      <w:r w:rsidR="00FE0BA4">
        <w:rPr>
          <w:sz w:val="22"/>
          <w:szCs w:val="22"/>
        </w:rPr>
        <w:t xml:space="preserve"> </w:t>
      </w:r>
    </w:p>
    <w:p w:rsidR="008466FA" w:rsidRDefault="008466FA" w:rsidP="00594DFD">
      <w:pPr>
        <w:jc w:val="both"/>
        <w:rPr>
          <w:rStyle w:val="Siln"/>
          <w:b w:val="0"/>
          <w:bCs w:val="0"/>
          <w:sz w:val="22"/>
          <w:szCs w:val="22"/>
        </w:rPr>
      </w:pPr>
    </w:p>
    <w:p w:rsidR="005C5208" w:rsidRDefault="005C5208" w:rsidP="00AA76C9">
      <w:pPr>
        <w:pStyle w:val="Nadpis2"/>
      </w:pPr>
      <w:bookmarkStart w:id="30" w:name="_Toc364335259"/>
      <w:bookmarkStart w:id="31" w:name="_Toc385875215"/>
      <w:bookmarkStart w:id="32" w:name="_Toc87955932"/>
      <w:r w:rsidRPr="005C5208">
        <w:t>2. Plnění finančního plánu zdaňované činnosti</w:t>
      </w:r>
      <w:bookmarkEnd w:id="30"/>
      <w:bookmarkEnd w:id="31"/>
    </w:p>
    <w:p w:rsidR="008F3239" w:rsidRDefault="008F3239" w:rsidP="008F3239">
      <w:pPr>
        <w:rPr>
          <w:sz w:val="22"/>
          <w:szCs w:val="22"/>
        </w:rPr>
      </w:pPr>
      <w:r w:rsidRPr="008F3239">
        <w:rPr>
          <w:sz w:val="22"/>
          <w:szCs w:val="22"/>
        </w:rPr>
        <w:t xml:space="preserve">Důležitou součástí hospodaření městské části </w:t>
      </w:r>
      <w:r w:rsidR="00095EFC">
        <w:rPr>
          <w:sz w:val="22"/>
          <w:szCs w:val="22"/>
        </w:rPr>
        <w:t>je nakládání s majetkem. Podle Statutu hlavního města Prahy městské části hospodaří s majetkem hlavního města, který jim byl Statutem svěřen.</w:t>
      </w:r>
      <w:r w:rsidR="005F7031">
        <w:rPr>
          <w:sz w:val="22"/>
          <w:szCs w:val="22"/>
        </w:rPr>
        <w:t xml:space="preserve"> Větší část majetku spravují správní firmy, část nákladů a výnosů je realizována odbory úřadu městské části.</w:t>
      </w:r>
      <w:r w:rsidR="00F00B17">
        <w:rPr>
          <w:sz w:val="22"/>
          <w:szCs w:val="22"/>
        </w:rPr>
        <w:t xml:space="preserve"> Ce</w:t>
      </w:r>
      <w:r w:rsidR="00F00B17">
        <w:rPr>
          <w:sz w:val="22"/>
          <w:szCs w:val="22"/>
        </w:rPr>
        <w:t>l</w:t>
      </w:r>
      <w:r w:rsidR="00F00B17">
        <w:rPr>
          <w:sz w:val="22"/>
          <w:szCs w:val="22"/>
        </w:rPr>
        <w:t>kový přehled o hospodaření ve zdaňované činnosti je v příloze č. 5.</w:t>
      </w:r>
    </w:p>
    <w:p w:rsidR="008F3239" w:rsidRPr="008F3239" w:rsidRDefault="008F3239" w:rsidP="008F3239">
      <w:pPr>
        <w:rPr>
          <w:sz w:val="22"/>
          <w:szCs w:val="22"/>
        </w:rPr>
      </w:pPr>
    </w:p>
    <w:p w:rsidR="008F3239" w:rsidRPr="008F3239" w:rsidRDefault="005C5208" w:rsidP="008F3239">
      <w:pPr>
        <w:pStyle w:val="Nadpis3"/>
      </w:pPr>
      <w:bookmarkStart w:id="33" w:name="_Toc385875216"/>
      <w:r>
        <w:t>Hospodaření správních firem</w:t>
      </w:r>
      <w:bookmarkEnd w:id="33"/>
    </w:p>
    <w:p w:rsidR="005C5208" w:rsidRDefault="005C5208" w:rsidP="005C5208">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Pr>
          <w:sz w:val="22"/>
          <w:szCs w:val="22"/>
        </w:rPr>
        <w:t>Většinu majetku městské části obhospodařují správní firmy. Vzhledem ke změnám vlastnické strukt</w:t>
      </w:r>
      <w:r>
        <w:rPr>
          <w:sz w:val="22"/>
          <w:szCs w:val="22"/>
        </w:rPr>
        <w:t>u</w:t>
      </w:r>
      <w:r>
        <w:rPr>
          <w:sz w:val="22"/>
          <w:szCs w:val="22"/>
        </w:rPr>
        <w:t>ry js</w:t>
      </w:r>
      <w:r w:rsidR="008F3239">
        <w:rPr>
          <w:sz w:val="22"/>
          <w:szCs w:val="22"/>
        </w:rPr>
        <w:t>ou správní firmy</w:t>
      </w:r>
      <w:r>
        <w:rPr>
          <w:sz w:val="22"/>
          <w:szCs w:val="22"/>
        </w:rPr>
        <w:t xml:space="preserve"> seřazeny podle středisek vedených v účetnictví městské části. Přehled o hospod</w:t>
      </w:r>
      <w:r>
        <w:rPr>
          <w:sz w:val="22"/>
          <w:szCs w:val="22"/>
        </w:rPr>
        <w:t>a</w:t>
      </w:r>
      <w:r>
        <w:rPr>
          <w:sz w:val="22"/>
          <w:szCs w:val="22"/>
        </w:rPr>
        <w:t>ření spr</w:t>
      </w:r>
      <w:r w:rsidR="000F3DC2">
        <w:rPr>
          <w:sz w:val="22"/>
          <w:szCs w:val="22"/>
        </w:rPr>
        <w:t xml:space="preserve">ávních firem je v tabulce č. </w:t>
      </w:r>
      <w:r w:rsidR="00F00B17">
        <w:rPr>
          <w:sz w:val="22"/>
          <w:szCs w:val="22"/>
        </w:rPr>
        <w:t>6</w:t>
      </w:r>
      <w:r w:rsidR="000F3DC2">
        <w:rPr>
          <w:sz w:val="22"/>
          <w:szCs w:val="22"/>
        </w:rPr>
        <w:t>.</w:t>
      </w:r>
    </w:p>
    <w:p w:rsidR="005C5208" w:rsidRDefault="005C5208" w:rsidP="005C5208">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p>
    <w:p w:rsidR="005C5208" w:rsidRDefault="005C5208" w:rsidP="005C5208">
      <w:pPr>
        <w:rPr>
          <w:b/>
          <w:sz w:val="22"/>
          <w:szCs w:val="22"/>
        </w:rPr>
      </w:pPr>
      <w:r w:rsidRPr="00707C45">
        <w:rPr>
          <w:b/>
          <w:sz w:val="22"/>
          <w:szCs w:val="22"/>
        </w:rPr>
        <w:t>Centra a.</w:t>
      </w:r>
      <w:r w:rsidR="008F3239">
        <w:rPr>
          <w:b/>
          <w:sz w:val="22"/>
          <w:szCs w:val="22"/>
        </w:rPr>
        <w:t xml:space="preserve"> </w:t>
      </w:r>
      <w:r w:rsidRPr="00707C45">
        <w:rPr>
          <w:b/>
          <w:sz w:val="22"/>
          <w:szCs w:val="22"/>
        </w:rPr>
        <w:t>s., stř. 91 (Machatého)</w:t>
      </w:r>
    </w:p>
    <w:p w:rsidR="005C5208" w:rsidRDefault="005C5208" w:rsidP="005C5208">
      <w:pPr>
        <w:pStyle w:val="Zkladntext2"/>
        <w:rPr>
          <w:b w:val="0"/>
          <w:sz w:val="22"/>
          <w:szCs w:val="22"/>
        </w:rPr>
      </w:pPr>
      <w:r>
        <w:rPr>
          <w:b w:val="0"/>
          <w:sz w:val="22"/>
          <w:szCs w:val="22"/>
        </w:rPr>
        <w:t>Celkové náklady výše uvedeného střediska představují za sledované období částku 7.179 </w:t>
      </w:r>
      <w:r w:rsidR="005E1108">
        <w:rPr>
          <w:b w:val="0"/>
          <w:sz w:val="22"/>
          <w:szCs w:val="22"/>
        </w:rPr>
        <w:t>tis. Kč</w:t>
      </w:r>
      <w:r>
        <w:rPr>
          <w:b w:val="0"/>
          <w:sz w:val="22"/>
          <w:szCs w:val="22"/>
        </w:rPr>
        <w:t xml:space="preserve">, tj. plnění na 40,7 %. Nízké procento čerpání nákladů je především z důvodu nedokončení všech akcí z plánu oprav nad 200 </w:t>
      </w:r>
      <w:r w:rsidR="005E1108">
        <w:rPr>
          <w:b w:val="0"/>
          <w:sz w:val="22"/>
          <w:szCs w:val="22"/>
        </w:rPr>
        <w:t>tis. Kč</w:t>
      </w:r>
      <w:r>
        <w:rPr>
          <w:b w:val="0"/>
          <w:sz w:val="22"/>
          <w:szCs w:val="22"/>
        </w:rPr>
        <w:t xml:space="preserve">. </w:t>
      </w:r>
    </w:p>
    <w:p w:rsidR="007F6A83" w:rsidRPr="007F6A83" w:rsidRDefault="005C5208" w:rsidP="007F6A83">
      <w:pPr>
        <w:jc w:val="both"/>
        <w:rPr>
          <w:sz w:val="22"/>
          <w:szCs w:val="22"/>
        </w:rPr>
      </w:pPr>
      <w:r w:rsidRPr="007F6A83">
        <w:rPr>
          <w:sz w:val="22"/>
          <w:szCs w:val="22"/>
        </w:rPr>
        <w:t>Z objektivních důvodů nebyly dokončeny nadlimitní akce Hlubočepská 33/2 - izolace objektu z vjezdové strany, úprava odtoku vody, Na Zlíchově 7/241 – oprava schodiště, pavlače, průjezdu, ří</w:t>
      </w:r>
      <w:r w:rsidRPr="007F6A83">
        <w:rPr>
          <w:sz w:val="22"/>
          <w:szCs w:val="22"/>
        </w:rPr>
        <w:t>m</w:t>
      </w:r>
      <w:r w:rsidRPr="007F6A83">
        <w:rPr>
          <w:sz w:val="22"/>
          <w:szCs w:val="22"/>
        </w:rPr>
        <w:t xml:space="preserve">sy, Lidická 18/797 – výměna rozvodů vody a kanalizačních stoupaček, vodoměry, Nádražní 82/42 – sanace poruch ve stropních konstrukcích systémem klínování a spínání, malování – ve volném NP č. </w:t>
      </w:r>
      <w:r w:rsidRPr="007F6A83">
        <w:rPr>
          <w:sz w:val="22"/>
          <w:szCs w:val="22"/>
        </w:rPr>
        <w:lastRenderedPageBreak/>
        <w:t xml:space="preserve">902, Křížová 43/264 – oprava opadávajících omítek ve sklepě objektu. </w:t>
      </w:r>
      <w:r w:rsidR="007F6A83">
        <w:rPr>
          <w:sz w:val="22"/>
          <w:szCs w:val="22"/>
        </w:rPr>
        <w:t>Na položce</w:t>
      </w:r>
      <w:r w:rsidR="00AA76C9">
        <w:rPr>
          <w:sz w:val="22"/>
          <w:szCs w:val="22"/>
        </w:rPr>
        <w:t xml:space="preserve"> </w:t>
      </w:r>
      <w:r w:rsidR="007F6A83" w:rsidRPr="007F6A83">
        <w:rPr>
          <w:sz w:val="22"/>
          <w:szCs w:val="22"/>
        </w:rPr>
        <w:t xml:space="preserve">jiné ostatní náklady </w:t>
      </w:r>
      <w:r w:rsidR="007F6A83">
        <w:rPr>
          <w:sz w:val="22"/>
          <w:szCs w:val="22"/>
        </w:rPr>
        <w:t xml:space="preserve">se promítá </w:t>
      </w:r>
      <w:r w:rsidR="007F6A83" w:rsidRPr="007F6A83">
        <w:rPr>
          <w:sz w:val="22"/>
          <w:szCs w:val="22"/>
        </w:rPr>
        <w:t>mj. i vyúčtování opravných položek celkem, které za rok 2013 činil</w:t>
      </w:r>
      <w:r w:rsidR="004D5354">
        <w:rPr>
          <w:sz w:val="22"/>
          <w:szCs w:val="22"/>
        </w:rPr>
        <w:t>y</w:t>
      </w:r>
      <w:r w:rsidR="00AA76C9">
        <w:rPr>
          <w:sz w:val="22"/>
          <w:szCs w:val="22"/>
        </w:rPr>
        <w:t xml:space="preserve"> </w:t>
      </w:r>
      <w:r w:rsidR="004D5354">
        <w:rPr>
          <w:sz w:val="22"/>
          <w:szCs w:val="22"/>
        </w:rPr>
        <w:t>-</w:t>
      </w:r>
      <w:r w:rsidR="007F6A83" w:rsidRPr="007F6A83">
        <w:rPr>
          <w:sz w:val="22"/>
          <w:szCs w:val="22"/>
        </w:rPr>
        <w:t>3</w:t>
      </w:r>
      <w:r w:rsidR="007F6A83">
        <w:rPr>
          <w:sz w:val="22"/>
          <w:szCs w:val="22"/>
        </w:rPr>
        <w:t>.</w:t>
      </w:r>
      <w:r w:rsidR="007F6A83" w:rsidRPr="007F6A83">
        <w:rPr>
          <w:sz w:val="22"/>
          <w:szCs w:val="22"/>
        </w:rPr>
        <w:t xml:space="preserve">016 </w:t>
      </w:r>
      <w:r w:rsidR="005E1108">
        <w:rPr>
          <w:sz w:val="22"/>
          <w:szCs w:val="22"/>
        </w:rPr>
        <w:t>tis. Kč</w:t>
      </w:r>
      <w:r w:rsidR="007F6A83" w:rsidRPr="007F6A83">
        <w:rPr>
          <w:sz w:val="22"/>
          <w:szCs w:val="22"/>
        </w:rPr>
        <w:t xml:space="preserve">, </w:t>
      </w:r>
      <w:r w:rsidR="007F6A83">
        <w:rPr>
          <w:sz w:val="22"/>
          <w:szCs w:val="22"/>
        </w:rPr>
        <w:t>takže</w:t>
      </w:r>
      <w:r w:rsidR="00AA76C9">
        <w:rPr>
          <w:sz w:val="22"/>
          <w:szCs w:val="22"/>
        </w:rPr>
        <w:t xml:space="preserve"> </w:t>
      </w:r>
      <w:r w:rsidR="007F6A83" w:rsidRPr="007F6A83">
        <w:rPr>
          <w:sz w:val="22"/>
          <w:szCs w:val="22"/>
        </w:rPr>
        <w:t xml:space="preserve">zůstává položka jiné ostatní náklady v konečném výsledku také záporná, a to 555 </w:t>
      </w:r>
      <w:r w:rsidR="005E1108">
        <w:rPr>
          <w:sz w:val="22"/>
          <w:szCs w:val="22"/>
        </w:rPr>
        <w:t>tis. Kč</w:t>
      </w:r>
      <w:r w:rsidR="007F6A83" w:rsidRPr="007F6A83">
        <w:rPr>
          <w:sz w:val="22"/>
          <w:szCs w:val="22"/>
        </w:rPr>
        <w:t>.</w:t>
      </w:r>
    </w:p>
    <w:p w:rsidR="007F6A83" w:rsidRDefault="007F6A83" w:rsidP="005C5208">
      <w:pPr>
        <w:pStyle w:val="Zkladntext2"/>
        <w:rPr>
          <w:b w:val="0"/>
        </w:rPr>
      </w:pPr>
    </w:p>
    <w:p w:rsidR="005C5208" w:rsidRDefault="005C5208" w:rsidP="005C5208">
      <w:pPr>
        <w:pStyle w:val="Zkladntext2"/>
        <w:rPr>
          <w:b w:val="0"/>
          <w:sz w:val="22"/>
          <w:szCs w:val="22"/>
        </w:rPr>
      </w:pPr>
      <w:r>
        <w:rPr>
          <w:b w:val="0"/>
          <w:sz w:val="22"/>
          <w:szCs w:val="22"/>
        </w:rPr>
        <w:t xml:space="preserve">Celkové výnosy činily 18.809 </w:t>
      </w:r>
      <w:r w:rsidR="005E1108">
        <w:rPr>
          <w:b w:val="0"/>
          <w:sz w:val="22"/>
          <w:szCs w:val="22"/>
        </w:rPr>
        <w:t>tis. Kč</w:t>
      </w:r>
      <w:r>
        <w:rPr>
          <w:b w:val="0"/>
          <w:sz w:val="22"/>
          <w:szCs w:val="22"/>
        </w:rPr>
        <w:t>, tj. plnění</w:t>
      </w:r>
      <w:r w:rsidR="00AA76C9">
        <w:rPr>
          <w:b w:val="0"/>
          <w:sz w:val="22"/>
          <w:szCs w:val="22"/>
        </w:rPr>
        <w:t xml:space="preserve"> </w:t>
      </w:r>
      <w:r>
        <w:rPr>
          <w:b w:val="0"/>
          <w:sz w:val="22"/>
          <w:szCs w:val="22"/>
        </w:rPr>
        <w:t xml:space="preserve">na 110,3 %. Vyšší procento plnění oproti plánu je na položce pokuty, penále (UP 1.700 </w:t>
      </w:r>
      <w:r w:rsidR="005E1108">
        <w:rPr>
          <w:b w:val="0"/>
          <w:sz w:val="22"/>
          <w:szCs w:val="22"/>
        </w:rPr>
        <w:t>tis. Kč</w:t>
      </w:r>
      <w:r>
        <w:rPr>
          <w:b w:val="0"/>
          <w:sz w:val="22"/>
          <w:szCs w:val="22"/>
        </w:rPr>
        <w:t xml:space="preserve">, skutečnost 3.126 </w:t>
      </w:r>
      <w:r w:rsidR="005E1108">
        <w:rPr>
          <w:b w:val="0"/>
          <w:sz w:val="22"/>
          <w:szCs w:val="22"/>
        </w:rPr>
        <w:t>tis. Kč</w:t>
      </w:r>
      <w:r>
        <w:rPr>
          <w:b w:val="0"/>
          <w:sz w:val="22"/>
          <w:szCs w:val="22"/>
        </w:rPr>
        <w:t>). Výsledkem</w:t>
      </w:r>
      <w:r w:rsidR="00AA76C9">
        <w:rPr>
          <w:b w:val="0"/>
          <w:sz w:val="22"/>
          <w:szCs w:val="22"/>
        </w:rPr>
        <w:t xml:space="preserve"> </w:t>
      </w:r>
      <w:r>
        <w:rPr>
          <w:b w:val="0"/>
          <w:sz w:val="22"/>
          <w:szCs w:val="22"/>
        </w:rPr>
        <w:t xml:space="preserve">hospodaření střediska za rok 2013 je kladný výsledek hospodaření ve výši 11.630 </w:t>
      </w:r>
      <w:r w:rsidR="005E1108">
        <w:rPr>
          <w:b w:val="0"/>
          <w:sz w:val="22"/>
          <w:szCs w:val="22"/>
        </w:rPr>
        <w:t>tis. Kč</w:t>
      </w:r>
      <w:r w:rsidR="004D5354">
        <w:rPr>
          <w:b w:val="0"/>
          <w:sz w:val="22"/>
          <w:szCs w:val="22"/>
        </w:rPr>
        <w:t>.</w:t>
      </w:r>
    </w:p>
    <w:p w:rsidR="005C5208" w:rsidRDefault="005C5208" w:rsidP="005C5208">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p>
    <w:p w:rsidR="00DE1591" w:rsidRDefault="00DE1591" w:rsidP="005C5208">
      <w:pPr>
        <w:widowControl w:val="0"/>
        <w:tabs>
          <w:tab w:val="left" w:pos="2304"/>
          <w:tab w:val="left" w:pos="3456"/>
          <w:tab w:val="left" w:pos="4608"/>
          <w:tab w:val="left" w:pos="5760"/>
          <w:tab w:val="left" w:pos="6912"/>
          <w:tab w:val="left" w:pos="8064"/>
          <w:tab w:val="left" w:pos="9216"/>
        </w:tabs>
        <w:autoSpaceDE w:val="0"/>
        <w:autoSpaceDN w:val="0"/>
        <w:adjustRightInd w:val="0"/>
        <w:jc w:val="both"/>
        <w:rPr>
          <w:b/>
          <w:sz w:val="22"/>
          <w:szCs w:val="22"/>
        </w:rPr>
      </w:pPr>
    </w:p>
    <w:p w:rsidR="005C5208" w:rsidRDefault="005C5208" w:rsidP="005C5208">
      <w:pPr>
        <w:widowControl w:val="0"/>
        <w:tabs>
          <w:tab w:val="left" w:pos="2304"/>
          <w:tab w:val="left" w:pos="3456"/>
          <w:tab w:val="left" w:pos="4608"/>
          <w:tab w:val="left" w:pos="5760"/>
          <w:tab w:val="left" w:pos="6912"/>
          <w:tab w:val="left" w:pos="8064"/>
          <w:tab w:val="left" w:pos="9216"/>
        </w:tabs>
        <w:autoSpaceDE w:val="0"/>
        <w:autoSpaceDN w:val="0"/>
        <w:adjustRightInd w:val="0"/>
        <w:jc w:val="both"/>
        <w:rPr>
          <w:b/>
          <w:sz w:val="22"/>
          <w:szCs w:val="22"/>
        </w:rPr>
      </w:pPr>
      <w:r>
        <w:rPr>
          <w:b/>
          <w:sz w:val="22"/>
          <w:szCs w:val="22"/>
        </w:rPr>
        <w:t>Centra a.</w:t>
      </w:r>
      <w:r w:rsidR="008F3239">
        <w:rPr>
          <w:b/>
          <w:sz w:val="22"/>
          <w:szCs w:val="22"/>
        </w:rPr>
        <w:t xml:space="preserve"> </w:t>
      </w:r>
      <w:r>
        <w:rPr>
          <w:b/>
          <w:sz w:val="22"/>
          <w:szCs w:val="22"/>
        </w:rPr>
        <w:t>s., stř. 9166 (SVJ)</w:t>
      </w:r>
    </w:p>
    <w:p w:rsidR="00817E08" w:rsidRDefault="005C5208" w:rsidP="005C5208">
      <w:pPr>
        <w:widowControl w:val="0"/>
        <w:tabs>
          <w:tab w:val="left" w:pos="2304"/>
          <w:tab w:val="left" w:pos="3456"/>
          <w:tab w:val="left" w:pos="4608"/>
          <w:tab w:val="left" w:pos="5760"/>
          <w:tab w:val="left" w:pos="6912"/>
          <w:tab w:val="left" w:pos="8064"/>
          <w:tab w:val="left" w:pos="9216"/>
        </w:tabs>
        <w:autoSpaceDE w:val="0"/>
        <w:autoSpaceDN w:val="0"/>
        <w:adjustRightInd w:val="0"/>
        <w:jc w:val="both"/>
        <w:rPr>
          <w:color w:val="000000" w:themeColor="text1"/>
          <w:sz w:val="22"/>
          <w:szCs w:val="22"/>
        </w:rPr>
      </w:pPr>
      <w:r>
        <w:rPr>
          <w:sz w:val="22"/>
          <w:szCs w:val="22"/>
        </w:rPr>
        <w:t xml:space="preserve">Celkové náklady výše uvedeného střediska činí 8.075 </w:t>
      </w:r>
      <w:r w:rsidR="005E1108">
        <w:rPr>
          <w:sz w:val="22"/>
          <w:szCs w:val="22"/>
        </w:rPr>
        <w:t>tis. Kč</w:t>
      </w:r>
      <w:r>
        <w:rPr>
          <w:sz w:val="22"/>
          <w:szCs w:val="22"/>
        </w:rPr>
        <w:t>, tj. plnění na 55,4</w:t>
      </w:r>
      <w:r w:rsidR="00AA76C9">
        <w:rPr>
          <w:sz w:val="22"/>
          <w:szCs w:val="22"/>
        </w:rPr>
        <w:t xml:space="preserve"> </w:t>
      </w:r>
      <w:r>
        <w:rPr>
          <w:sz w:val="22"/>
          <w:szCs w:val="22"/>
        </w:rPr>
        <w:t>%.</w:t>
      </w:r>
      <w:r>
        <w:rPr>
          <w:color w:val="0070C0"/>
          <w:sz w:val="22"/>
          <w:szCs w:val="22"/>
        </w:rPr>
        <w:t xml:space="preserve"> </w:t>
      </w:r>
      <w:r w:rsidR="00817E08" w:rsidRPr="00817E08">
        <w:rPr>
          <w:color w:val="000000" w:themeColor="text1"/>
          <w:sz w:val="22"/>
          <w:szCs w:val="22"/>
        </w:rPr>
        <w:t>Nejvyšší</w:t>
      </w:r>
      <w:r w:rsidR="00817E08">
        <w:rPr>
          <w:color w:val="0070C0"/>
          <w:sz w:val="22"/>
          <w:szCs w:val="22"/>
        </w:rPr>
        <w:t xml:space="preserve"> </w:t>
      </w:r>
      <w:r w:rsidR="00817E08" w:rsidRPr="00817E08">
        <w:rPr>
          <w:color w:val="000000" w:themeColor="text1"/>
          <w:sz w:val="22"/>
          <w:szCs w:val="22"/>
        </w:rPr>
        <w:t>čerpání</w:t>
      </w:r>
      <w:r w:rsidR="00817E08">
        <w:rPr>
          <w:color w:val="0070C0"/>
          <w:sz w:val="22"/>
          <w:szCs w:val="22"/>
        </w:rPr>
        <w:t xml:space="preserve"> </w:t>
      </w:r>
      <w:r w:rsidR="00817E08">
        <w:rPr>
          <w:color w:val="000000" w:themeColor="text1"/>
          <w:sz w:val="22"/>
          <w:szCs w:val="22"/>
        </w:rPr>
        <w:t>nákladů je na položce jiné ostatní náklady 5.956 tis.</w:t>
      </w:r>
      <w:r w:rsidR="0004603E">
        <w:rPr>
          <w:color w:val="000000" w:themeColor="text1"/>
          <w:sz w:val="22"/>
          <w:szCs w:val="22"/>
        </w:rPr>
        <w:t xml:space="preserve"> </w:t>
      </w:r>
      <w:r w:rsidR="00817E08">
        <w:rPr>
          <w:color w:val="000000" w:themeColor="text1"/>
          <w:sz w:val="22"/>
          <w:szCs w:val="22"/>
        </w:rPr>
        <w:t>Kč (vyúčtování opravných položek, odepsané pohledávky a jiné ostatní náklady) a položce materiálové náklady 299 tis.</w:t>
      </w:r>
      <w:r w:rsidR="0004603E">
        <w:rPr>
          <w:color w:val="000000" w:themeColor="text1"/>
          <w:sz w:val="22"/>
          <w:szCs w:val="22"/>
        </w:rPr>
        <w:t xml:space="preserve"> </w:t>
      </w:r>
      <w:r w:rsidR="00817E08">
        <w:rPr>
          <w:color w:val="000000" w:themeColor="text1"/>
          <w:sz w:val="22"/>
          <w:szCs w:val="22"/>
        </w:rPr>
        <w:t>Kč, která obsahuje spotřebu materiálu a paliva a spotřebu energie.</w:t>
      </w:r>
    </w:p>
    <w:p w:rsidR="005C5208" w:rsidRDefault="005C5208" w:rsidP="005C5208">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Pr>
          <w:sz w:val="22"/>
          <w:szCs w:val="22"/>
        </w:rPr>
        <w:t>Celkové výnosy za sledované období činily 21.961 </w:t>
      </w:r>
      <w:r w:rsidR="005E1108">
        <w:rPr>
          <w:sz w:val="22"/>
          <w:szCs w:val="22"/>
        </w:rPr>
        <w:t>tis. </w:t>
      </w:r>
      <w:r w:rsidR="0004603E">
        <w:rPr>
          <w:sz w:val="22"/>
          <w:szCs w:val="22"/>
        </w:rPr>
        <w:t xml:space="preserve"> </w:t>
      </w:r>
      <w:r w:rsidR="005E1108">
        <w:rPr>
          <w:sz w:val="22"/>
          <w:szCs w:val="22"/>
        </w:rPr>
        <w:t>Kč</w:t>
      </w:r>
      <w:r>
        <w:rPr>
          <w:sz w:val="22"/>
          <w:szCs w:val="22"/>
        </w:rPr>
        <w:t>, tj. plnění na 123,2 %.</w:t>
      </w:r>
      <w:r w:rsidR="0004603E">
        <w:rPr>
          <w:sz w:val="22"/>
          <w:szCs w:val="22"/>
        </w:rPr>
        <w:t xml:space="preserve"> Největší plnění v</w:t>
      </w:r>
      <w:r w:rsidR="0004603E">
        <w:rPr>
          <w:sz w:val="22"/>
          <w:szCs w:val="22"/>
        </w:rPr>
        <w:t>ý</w:t>
      </w:r>
      <w:r w:rsidR="0004603E">
        <w:rPr>
          <w:sz w:val="22"/>
          <w:szCs w:val="22"/>
        </w:rPr>
        <w:t>nosů je na položce nájmy z bytů 12.274 tis. Kč a nájmy z nebytových prostor 6.854 tis. Kč.</w:t>
      </w:r>
      <w:r>
        <w:rPr>
          <w:sz w:val="22"/>
          <w:szCs w:val="22"/>
        </w:rPr>
        <w:t xml:space="preserve"> Výsle</w:t>
      </w:r>
      <w:r>
        <w:rPr>
          <w:sz w:val="22"/>
          <w:szCs w:val="22"/>
        </w:rPr>
        <w:t>d</w:t>
      </w:r>
      <w:r>
        <w:rPr>
          <w:sz w:val="22"/>
          <w:szCs w:val="22"/>
        </w:rPr>
        <w:t xml:space="preserve">kem hospodaření je kladný výsledek ve výši 13.886 </w:t>
      </w:r>
      <w:r w:rsidR="005E1108">
        <w:rPr>
          <w:sz w:val="22"/>
          <w:szCs w:val="22"/>
        </w:rPr>
        <w:t>tis. Kč</w:t>
      </w:r>
      <w:r>
        <w:rPr>
          <w:sz w:val="22"/>
          <w:szCs w:val="22"/>
        </w:rPr>
        <w:t>.</w:t>
      </w:r>
    </w:p>
    <w:p w:rsidR="005C5208" w:rsidRDefault="005C5208" w:rsidP="005C5208">
      <w:pPr>
        <w:widowControl w:val="0"/>
        <w:tabs>
          <w:tab w:val="left" w:pos="2304"/>
          <w:tab w:val="left" w:pos="3456"/>
          <w:tab w:val="left" w:pos="4608"/>
          <w:tab w:val="left" w:pos="5760"/>
          <w:tab w:val="left" w:pos="6912"/>
          <w:tab w:val="left" w:pos="8064"/>
          <w:tab w:val="left" w:pos="9216"/>
        </w:tabs>
        <w:autoSpaceDE w:val="0"/>
        <w:autoSpaceDN w:val="0"/>
        <w:adjustRightInd w:val="0"/>
        <w:jc w:val="both"/>
        <w:rPr>
          <w:b/>
          <w:sz w:val="22"/>
          <w:szCs w:val="22"/>
        </w:rPr>
      </w:pPr>
    </w:p>
    <w:p w:rsidR="005C5208" w:rsidRDefault="005C5208" w:rsidP="005C5208">
      <w:pPr>
        <w:rPr>
          <w:b/>
          <w:sz w:val="22"/>
          <w:szCs w:val="22"/>
        </w:rPr>
      </w:pPr>
      <w:r>
        <w:rPr>
          <w:b/>
          <w:sz w:val="22"/>
          <w:szCs w:val="22"/>
        </w:rPr>
        <w:t>Centra a.</w:t>
      </w:r>
      <w:r w:rsidR="008F3239">
        <w:rPr>
          <w:b/>
          <w:sz w:val="22"/>
          <w:szCs w:val="22"/>
        </w:rPr>
        <w:t xml:space="preserve"> </w:t>
      </w:r>
      <w:r>
        <w:rPr>
          <w:b/>
          <w:sz w:val="22"/>
          <w:szCs w:val="22"/>
        </w:rPr>
        <w:t>s., stř. 92 (J. Plachty)</w:t>
      </w:r>
    </w:p>
    <w:p w:rsidR="005C5208" w:rsidRDefault="005C5208" w:rsidP="005C5208">
      <w:pPr>
        <w:pStyle w:val="Zkladntext2"/>
        <w:rPr>
          <w:b w:val="0"/>
          <w:sz w:val="22"/>
          <w:szCs w:val="22"/>
        </w:rPr>
      </w:pPr>
      <w:r>
        <w:rPr>
          <w:b w:val="0"/>
          <w:bCs/>
          <w:sz w:val="22"/>
          <w:szCs w:val="22"/>
        </w:rPr>
        <w:t xml:space="preserve">Celkové náklady střediska činí 48.693 </w:t>
      </w:r>
      <w:r w:rsidR="005E1108">
        <w:rPr>
          <w:b w:val="0"/>
          <w:bCs/>
          <w:sz w:val="22"/>
          <w:szCs w:val="22"/>
        </w:rPr>
        <w:t>tis. Kč</w:t>
      </w:r>
      <w:r>
        <w:rPr>
          <w:b w:val="0"/>
          <w:sz w:val="22"/>
          <w:szCs w:val="22"/>
        </w:rPr>
        <w:t>, tj. plnění na 73,4 %. Nízké (39,3) procento čerpání je na nákladové položce</w:t>
      </w:r>
      <w:r>
        <w:rPr>
          <w:sz w:val="22"/>
          <w:szCs w:val="22"/>
        </w:rPr>
        <w:t xml:space="preserve"> </w:t>
      </w:r>
      <w:r>
        <w:rPr>
          <w:b w:val="0"/>
          <w:sz w:val="22"/>
          <w:szCs w:val="22"/>
        </w:rPr>
        <w:t xml:space="preserve">opravy nad 200 </w:t>
      </w:r>
      <w:r w:rsidR="005E1108">
        <w:rPr>
          <w:b w:val="0"/>
          <w:sz w:val="22"/>
          <w:szCs w:val="22"/>
        </w:rPr>
        <w:t>tis. Kč</w:t>
      </w:r>
      <w:r>
        <w:rPr>
          <w:b w:val="0"/>
          <w:sz w:val="22"/>
          <w:szCs w:val="22"/>
        </w:rPr>
        <w:t xml:space="preserve">. </w:t>
      </w:r>
    </w:p>
    <w:p w:rsidR="005C5208" w:rsidRDefault="00956845" w:rsidP="005C5208">
      <w:pPr>
        <w:pStyle w:val="Zkladntext2"/>
        <w:tabs>
          <w:tab w:val="left" w:pos="7938"/>
        </w:tabs>
        <w:rPr>
          <w:b w:val="0"/>
          <w:sz w:val="22"/>
          <w:szCs w:val="22"/>
        </w:rPr>
      </w:pPr>
      <w:r>
        <w:rPr>
          <w:b w:val="0"/>
          <w:sz w:val="22"/>
          <w:szCs w:val="22"/>
        </w:rPr>
        <w:t>N</w:t>
      </w:r>
      <w:r w:rsidR="005C5208">
        <w:rPr>
          <w:b w:val="0"/>
          <w:sz w:val="22"/>
          <w:szCs w:val="22"/>
        </w:rPr>
        <w:t>ebyl</w:t>
      </w:r>
      <w:r>
        <w:rPr>
          <w:b w:val="0"/>
          <w:sz w:val="22"/>
          <w:szCs w:val="22"/>
        </w:rPr>
        <w:t>y</w:t>
      </w:r>
      <w:r w:rsidR="005C5208">
        <w:rPr>
          <w:b w:val="0"/>
          <w:sz w:val="22"/>
          <w:szCs w:val="22"/>
        </w:rPr>
        <w:t xml:space="preserve"> realizován</w:t>
      </w:r>
      <w:r>
        <w:rPr>
          <w:b w:val="0"/>
          <w:sz w:val="22"/>
          <w:szCs w:val="22"/>
        </w:rPr>
        <w:t>y</w:t>
      </w:r>
      <w:r w:rsidR="005C5208">
        <w:rPr>
          <w:b w:val="0"/>
          <w:sz w:val="22"/>
          <w:szCs w:val="22"/>
        </w:rPr>
        <w:t xml:space="preserve"> t</w:t>
      </w:r>
      <w:r>
        <w:rPr>
          <w:b w:val="0"/>
          <w:sz w:val="22"/>
          <w:szCs w:val="22"/>
        </w:rPr>
        <w:t>y</w:t>
      </w:r>
      <w:r w:rsidR="005C5208">
        <w:rPr>
          <w:b w:val="0"/>
          <w:sz w:val="22"/>
          <w:szCs w:val="22"/>
        </w:rPr>
        <w:t>to akce: Vítězná 11/530 – oprava malby průjezdu a schodiště, výměna železných vrat do dvora, výměna poštovních schránek, Zubatého 10/330 – oprava a nátěr uliční fasády a nátěr klempířských prvků, Štefánikova 51/259 – celková oprava volného bytu č. 3 a 28. Z nadlimitních akcí byla dokončena oprava např. Janáčkovo</w:t>
      </w:r>
      <w:r w:rsidR="00AA76C9">
        <w:rPr>
          <w:b w:val="0"/>
          <w:sz w:val="22"/>
          <w:szCs w:val="22"/>
        </w:rPr>
        <w:t xml:space="preserve"> </w:t>
      </w:r>
      <w:r w:rsidR="005C5208">
        <w:rPr>
          <w:b w:val="0"/>
          <w:sz w:val="22"/>
          <w:szCs w:val="22"/>
        </w:rPr>
        <w:t>nábř. 29/1072 – cel</w:t>
      </w:r>
      <w:r>
        <w:rPr>
          <w:b w:val="0"/>
          <w:sz w:val="22"/>
          <w:szCs w:val="22"/>
        </w:rPr>
        <w:t>ková oprava volného bytu č. 11.</w:t>
      </w:r>
    </w:p>
    <w:p w:rsidR="005C5208" w:rsidRDefault="005C5208" w:rsidP="005C5208">
      <w:pPr>
        <w:pStyle w:val="Zkladntext2"/>
        <w:rPr>
          <w:b w:val="0"/>
          <w:sz w:val="22"/>
          <w:szCs w:val="22"/>
        </w:rPr>
      </w:pPr>
      <w:r>
        <w:rPr>
          <w:b w:val="0"/>
          <w:sz w:val="22"/>
          <w:szCs w:val="22"/>
        </w:rPr>
        <w:t>Celkové výnosy</w:t>
      </w:r>
      <w:r>
        <w:rPr>
          <w:sz w:val="22"/>
          <w:szCs w:val="22"/>
        </w:rPr>
        <w:t xml:space="preserve"> </w:t>
      </w:r>
      <w:r>
        <w:rPr>
          <w:b w:val="0"/>
          <w:sz w:val="22"/>
          <w:szCs w:val="22"/>
        </w:rPr>
        <w:t>představují částku 120.311 </w:t>
      </w:r>
      <w:r w:rsidR="005E1108">
        <w:rPr>
          <w:b w:val="0"/>
          <w:sz w:val="22"/>
          <w:szCs w:val="22"/>
        </w:rPr>
        <w:t>tis. Kč</w:t>
      </w:r>
      <w:r>
        <w:rPr>
          <w:b w:val="0"/>
          <w:sz w:val="22"/>
          <w:szCs w:val="22"/>
        </w:rPr>
        <w:t>, tj. plnění na 114,6 %.</w:t>
      </w:r>
      <w:r>
        <w:rPr>
          <w:sz w:val="22"/>
          <w:szCs w:val="22"/>
        </w:rPr>
        <w:t xml:space="preserve"> </w:t>
      </w:r>
      <w:r>
        <w:rPr>
          <w:b w:val="0"/>
          <w:sz w:val="22"/>
          <w:szCs w:val="22"/>
        </w:rPr>
        <w:t xml:space="preserve">Vyšší procento plnění je na položce ostatní výnosy (UP 2.150 </w:t>
      </w:r>
      <w:r w:rsidR="005E1108">
        <w:rPr>
          <w:b w:val="0"/>
          <w:sz w:val="22"/>
          <w:szCs w:val="22"/>
        </w:rPr>
        <w:t>tis. Kč</w:t>
      </w:r>
      <w:r>
        <w:rPr>
          <w:b w:val="0"/>
          <w:sz w:val="22"/>
          <w:szCs w:val="22"/>
        </w:rPr>
        <w:t xml:space="preserve">, skutečnost 2.987 </w:t>
      </w:r>
      <w:r w:rsidR="005E1108">
        <w:rPr>
          <w:b w:val="0"/>
          <w:sz w:val="22"/>
          <w:szCs w:val="22"/>
        </w:rPr>
        <w:t>tis. Kč</w:t>
      </w:r>
      <w:r w:rsidR="007A7AAF">
        <w:rPr>
          <w:b w:val="0"/>
          <w:sz w:val="22"/>
          <w:szCs w:val="22"/>
        </w:rPr>
        <w:t>)</w:t>
      </w:r>
      <w:r>
        <w:rPr>
          <w:b w:val="0"/>
          <w:sz w:val="22"/>
          <w:szCs w:val="22"/>
        </w:rPr>
        <w:t xml:space="preserve"> a pokuty a penále (UP 5.000 </w:t>
      </w:r>
      <w:r w:rsidR="005E1108">
        <w:rPr>
          <w:b w:val="0"/>
          <w:sz w:val="22"/>
          <w:szCs w:val="22"/>
        </w:rPr>
        <w:t>tis. Kč</w:t>
      </w:r>
      <w:r>
        <w:rPr>
          <w:b w:val="0"/>
          <w:sz w:val="22"/>
          <w:szCs w:val="22"/>
        </w:rPr>
        <w:t xml:space="preserve">, skutečnost 7.551 </w:t>
      </w:r>
      <w:r w:rsidR="005E1108">
        <w:rPr>
          <w:b w:val="0"/>
          <w:sz w:val="22"/>
          <w:szCs w:val="22"/>
        </w:rPr>
        <w:t>tis. Kč</w:t>
      </w:r>
      <w:r>
        <w:rPr>
          <w:b w:val="0"/>
          <w:sz w:val="22"/>
          <w:szCs w:val="22"/>
        </w:rPr>
        <w:t>). Hospodářský výsledek je kladný ve výši 71.618 </w:t>
      </w:r>
      <w:r w:rsidR="005E1108">
        <w:rPr>
          <w:b w:val="0"/>
          <w:sz w:val="22"/>
          <w:szCs w:val="22"/>
        </w:rPr>
        <w:t>tis. Kč</w:t>
      </w:r>
      <w:r>
        <w:rPr>
          <w:b w:val="0"/>
          <w:sz w:val="22"/>
          <w:szCs w:val="22"/>
        </w:rPr>
        <w:t>.</w:t>
      </w:r>
    </w:p>
    <w:p w:rsidR="005C5208" w:rsidRDefault="005C5208" w:rsidP="005C5208">
      <w:pPr>
        <w:widowControl w:val="0"/>
        <w:tabs>
          <w:tab w:val="left" w:pos="2304"/>
          <w:tab w:val="left" w:pos="3456"/>
          <w:tab w:val="left" w:pos="4608"/>
          <w:tab w:val="left" w:pos="5760"/>
          <w:tab w:val="left" w:pos="6912"/>
          <w:tab w:val="left" w:pos="8064"/>
          <w:tab w:val="left" w:pos="9216"/>
        </w:tabs>
        <w:autoSpaceDE w:val="0"/>
        <w:autoSpaceDN w:val="0"/>
        <w:adjustRightInd w:val="0"/>
        <w:jc w:val="both"/>
        <w:rPr>
          <w:sz w:val="22"/>
          <w:szCs w:val="22"/>
        </w:rPr>
      </w:pPr>
      <w:r>
        <w:rPr>
          <w:sz w:val="22"/>
          <w:szCs w:val="22"/>
        </w:rPr>
        <w:t xml:space="preserve"> </w:t>
      </w:r>
    </w:p>
    <w:p w:rsidR="005C5208" w:rsidRDefault="005C5208" w:rsidP="005C5208">
      <w:pPr>
        <w:rPr>
          <w:b/>
          <w:sz w:val="22"/>
          <w:szCs w:val="22"/>
        </w:rPr>
      </w:pPr>
      <w:r>
        <w:rPr>
          <w:b/>
          <w:sz w:val="22"/>
          <w:szCs w:val="22"/>
        </w:rPr>
        <w:t>Centra a.</w:t>
      </w:r>
      <w:r w:rsidR="008F3239">
        <w:rPr>
          <w:b/>
          <w:sz w:val="22"/>
          <w:szCs w:val="22"/>
        </w:rPr>
        <w:t xml:space="preserve"> </w:t>
      </w:r>
      <w:r w:rsidR="00956845">
        <w:rPr>
          <w:b/>
          <w:sz w:val="22"/>
          <w:szCs w:val="22"/>
        </w:rPr>
        <w:t>s., stř. 93 (Staropramenná)</w:t>
      </w:r>
    </w:p>
    <w:p w:rsidR="005C5208" w:rsidRDefault="005C5208" w:rsidP="005C5208">
      <w:pPr>
        <w:jc w:val="both"/>
        <w:rPr>
          <w:sz w:val="22"/>
          <w:szCs w:val="22"/>
        </w:rPr>
      </w:pPr>
      <w:r>
        <w:rPr>
          <w:sz w:val="22"/>
          <w:szCs w:val="22"/>
        </w:rPr>
        <w:t>Celkové náklady výše uvedeného střediska představují za sledované období částku 10.219 </w:t>
      </w:r>
      <w:r w:rsidR="005E1108">
        <w:rPr>
          <w:sz w:val="22"/>
          <w:szCs w:val="22"/>
        </w:rPr>
        <w:t>tis. Kč</w:t>
      </w:r>
      <w:r>
        <w:rPr>
          <w:sz w:val="22"/>
          <w:szCs w:val="22"/>
        </w:rPr>
        <w:t>, tj. plnění na 41,1 %. Nižší procento čerpání nákladů je z důvodu nedokončení všech plánovaných gen</w:t>
      </w:r>
      <w:r>
        <w:rPr>
          <w:sz w:val="22"/>
          <w:szCs w:val="22"/>
        </w:rPr>
        <w:t>e</w:t>
      </w:r>
      <w:r>
        <w:rPr>
          <w:sz w:val="22"/>
          <w:szCs w:val="22"/>
        </w:rPr>
        <w:t xml:space="preserve">rálních oprav nad 200 </w:t>
      </w:r>
      <w:r w:rsidR="005E1108">
        <w:rPr>
          <w:sz w:val="22"/>
          <w:szCs w:val="22"/>
        </w:rPr>
        <w:t>tis. Kč</w:t>
      </w:r>
      <w:r>
        <w:rPr>
          <w:sz w:val="22"/>
          <w:szCs w:val="22"/>
        </w:rPr>
        <w:t xml:space="preserve">. </w:t>
      </w:r>
    </w:p>
    <w:p w:rsidR="008F3239" w:rsidRDefault="005C5208" w:rsidP="005C5208">
      <w:pPr>
        <w:jc w:val="both"/>
        <w:rPr>
          <w:sz w:val="22"/>
          <w:szCs w:val="22"/>
        </w:rPr>
      </w:pPr>
      <w:r>
        <w:rPr>
          <w:sz w:val="22"/>
          <w:szCs w:val="22"/>
        </w:rPr>
        <w:t>Z objektivních důvodů zatím nebyly dokončeny akce: Plzeňská 213/445 – celková oprava</w:t>
      </w:r>
      <w:r w:rsidR="00AA76C9">
        <w:rPr>
          <w:sz w:val="22"/>
          <w:szCs w:val="22"/>
        </w:rPr>
        <w:t xml:space="preserve"> </w:t>
      </w:r>
      <w:r>
        <w:rPr>
          <w:sz w:val="22"/>
          <w:szCs w:val="22"/>
        </w:rPr>
        <w:t>volného bytu č. 33, Plzeňská 215/445 – celková oprava volného bytu č. 26 a bytu č. 7, Plzeňská 21//442 - opr</w:t>
      </w:r>
      <w:r>
        <w:rPr>
          <w:sz w:val="22"/>
          <w:szCs w:val="22"/>
        </w:rPr>
        <w:t>a</w:t>
      </w:r>
      <w:r>
        <w:rPr>
          <w:sz w:val="22"/>
          <w:szCs w:val="22"/>
        </w:rPr>
        <w:t xml:space="preserve">va volného bytu č. 21 a Plzeňská 215/445 – celková oprava volného bytu č. 9. </w:t>
      </w:r>
      <w:r w:rsidR="00F80A8C">
        <w:rPr>
          <w:sz w:val="22"/>
          <w:szCs w:val="22"/>
        </w:rPr>
        <w:t>Předpoklad realizace těchto akcí je plánován v roce 2014.</w:t>
      </w:r>
      <w:r>
        <w:rPr>
          <w:sz w:val="22"/>
          <w:szCs w:val="22"/>
        </w:rPr>
        <w:t xml:space="preserve"> </w:t>
      </w:r>
    </w:p>
    <w:p w:rsidR="005C5208" w:rsidRDefault="005C5208" w:rsidP="005C5208">
      <w:pPr>
        <w:jc w:val="both"/>
        <w:rPr>
          <w:sz w:val="22"/>
          <w:szCs w:val="22"/>
        </w:rPr>
      </w:pPr>
      <w:r>
        <w:rPr>
          <w:sz w:val="22"/>
          <w:szCs w:val="22"/>
        </w:rPr>
        <w:t xml:space="preserve">Celkové výnosy činily 20.330 </w:t>
      </w:r>
      <w:r w:rsidR="005E1108">
        <w:rPr>
          <w:sz w:val="22"/>
          <w:szCs w:val="22"/>
        </w:rPr>
        <w:t>tis. Kč</w:t>
      </w:r>
      <w:r>
        <w:rPr>
          <w:sz w:val="22"/>
          <w:szCs w:val="22"/>
        </w:rPr>
        <w:t xml:space="preserve">, tj. plnění na 97,7 %. Vysoké procento plnění je na položkách ostatní výnosy (UR 850 </w:t>
      </w:r>
      <w:r w:rsidR="005E1108">
        <w:rPr>
          <w:sz w:val="22"/>
          <w:szCs w:val="22"/>
        </w:rPr>
        <w:t>tis. Kč</w:t>
      </w:r>
      <w:r>
        <w:rPr>
          <w:sz w:val="22"/>
          <w:szCs w:val="22"/>
        </w:rPr>
        <w:t xml:space="preserve">, skutečnost 1.241 </w:t>
      </w:r>
      <w:r w:rsidR="005E1108">
        <w:rPr>
          <w:sz w:val="22"/>
          <w:szCs w:val="22"/>
        </w:rPr>
        <w:t>tis. Kč</w:t>
      </w:r>
      <w:r>
        <w:rPr>
          <w:sz w:val="22"/>
          <w:szCs w:val="22"/>
        </w:rPr>
        <w:t xml:space="preserve">), pokuty, penále (UR 2.500 </w:t>
      </w:r>
      <w:r w:rsidR="005E1108">
        <w:rPr>
          <w:sz w:val="22"/>
          <w:szCs w:val="22"/>
        </w:rPr>
        <w:t>tis. Kč</w:t>
      </w:r>
      <w:r>
        <w:rPr>
          <w:sz w:val="22"/>
          <w:szCs w:val="22"/>
        </w:rPr>
        <w:t>, skute</w:t>
      </w:r>
      <w:r>
        <w:rPr>
          <w:sz w:val="22"/>
          <w:szCs w:val="22"/>
        </w:rPr>
        <w:t>č</w:t>
      </w:r>
      <w:r>
        <w:rPr>
          <w:sz w:val="22"/>
          <w:szCs w:val="22"/>
        </w:rPr>
        <w:t xml:space="preserve">nost 3.490 </w:t>
      </w:r>
      <w:r w:rsidR="005E1108">
        <w:rPr>
          <w:sz w:val="22"/>
          <w:szCs w:val="22"/>
        </w:rPr>
        <w:t>tis. Kč</w:t>
      </w:r>
      <w:r>
        <w:rPr>
          <w:sz w:val="22"/>
          <w:szCs w:val="22"/>
        </w:rPr>
        <w:t>).Výsledkem hospodaření</w:t>
      </w:r>
      <w:r w:rsidR="00AA76C9">
        <w:rPr>
          <w:sz w:val="22"/>
          <w:szCs w:val="22"/>
        </w:rPr>
        <w:t xml:space="preserve"> </w:t>
      </w:r>
      <w:r>
        <w:rPr>
          <w:sz w:val="22"/>
          <w:szCs w:val="22"/>
        </w:rPr>
        <w:t>je kladný výsledek ve výši 10.111 </w:t>
      </w:r>
      <w:r w:rsidR="005E1108">
        <w:rPr>
          <w:sz w:val="22"/>
          <w:szCs w:val="22"/>
        </w:rPr>
        <w:t>tis. Kč</w:t>
      </w:r>
      <w:r>
        <w:rPr>
          <w:sz w:val="22"/>
          <w:szCs w:val="22"/>
        </w:rPr>
        <w:t>.</w:t>
      </w:r>
    </w:p>
    <w:p w:rsidR="00275695" w:rsidRDefault="00275695" w:rsidP="005C5208">
      <w:pPr>
        <w:rPr>
          <w:color w:val="0070C0"/>
          <w:sz w:val="22"/>
          <w:szCs w:val="22"/>
        </w:rPr>
      </w:pPr>
    </w:p>
    <w:p w:rsidR="005C5208" w:rsidRDefault="005C5208" w:rsidP="005C5208">
      <w:pPr>
        <w:rPr>
          <w:b/>
          <w:sz w:val="22"/>
          <w:szCs w:val="22"/>
        </w:rPr>
      </w:pPr>
      <w:r>
        <w:rPr>
          <w:b/>
          <w:sz w:val="22"/>
          <w:szCs w:val="22"/>
        </w:rPr>
        <w:t xml:space="preserve">Poliklinika Kartouzská, stř. 94 </w:t>
      </w:r>
    </w:p>
    <w:p w:rsidR="005C5208" w:rsidRDefault="005C5208" w:rsidP="005C5208">
      <w:pPr>
        <w:widowControl w:val="0"/>
        <w:tabs>
          <w:tab w:val="left" w:pos="2304"/>
          <w:tab w:val="left" w:pos="3456"/>
          <w:tab w:val="left" w:pos="4608"/>
          <w:tab w:val="left" w:pos="5760"/>
          <w:tab w:val="left" w:pos="6912"/>
          <w:tab w:val="left" w:pos="8064"/>
          <w:tab w:val="left" w:pos="9216"/>
        </w:tabs>
        <w:autoSpaceDE w:val="0"/>
        <w:autoSpaceDN w:val="0"/>
        <w:adjustRightInd w:val="0"/>
        <w:ind w:right="144"/>
        <w:jc w:val="both"/>
        <w:rPr>
          <w:sz w:val="22"/>
          <w:szCs w:val="22"/>
        </w:rPr>
      </w:pPr>
      <w:r>
        <w:rPr>
          <w:sz w:val="22"/>
          <w:szCs w:val="22"/>
        </w:rPr>
        <w:t xml:space="preserve">Náklady představují částku 614 </w:t>
      </w:r>
      <w:r w:rsidR="005E1108">
        <w:rPr>
          <w:sz w:val="22"/>
          <w:szCs w:val="22"/>
        </w:rPr>
        <w:t>tis. Kč</w:t>
      </w:r>
      <w:r>
        <w:rPr>
          <w:sz w:val="22"/>
          <w:szCs w:val="22"/>
        </w:rPr>
        <w:t>. Nízké (8,4) procento čerpání nákladů je z důvodu ukončení smlouvy o správě polikliniky Kartouzská mezi MČ a spol</w:t>
      </w:r>
      <w:r w:rsidR="007A7AAF">
        <w:rPr>
          <w:sz w:val="22"/>
          <w:szCs w:val="22"/>
        </w:rPr>
        <w:t>ečností</w:t>
      </w:r>
      <w:r>
        <w:rPr>
          <w:sz w:val="22"/>
          <w:szCs w:val="22"/>
        </w:rPr>
        <w:t xml:space="preserve"> </w:t>
      </w:r>
      <w:proofErr w:type="spellStart"/>
      <w:r>
        <w:rPr>
          <w:sz w:val="22"/>
          <w:szCs w:val="22"/>
        </w:rPr>
        <w:t>Medifin</w:t>
      </w:r>
      <w:proofErr w:type="spellEnd"/>
      <w:r>
        <w:rPr>
          <w:sz w:val="22"/>
          <w:szCs w:val="22"/>
        </w:rPr>
        <w:t xml:space="preserve"> </w:t>
      </w:r>
      <w:proofErr w:type="gramStart"/>
      <w:r>
        <w:rPr>
          <w:sz w:val="22"/>
          <w:szCs w:val="22"/>
        </w:rPr>
        <w:t>a</w:t>
      </w:r>
      <w:r w:rsidR="008F3239">
        <w:rPr>
          <w:sz w:val="22"/>
          <w:szCs w:val="22"/>
        </w:rPr>
        <w:t>.s.</w:t>
      </w:r>
      <w:r w:rsidR="007D215D">
        <w:rPr>
          <w:sz w:val="22"/>
          <w:szCs w:val="22"/>
        </w:rPr>
        <w:t>.</w:t>
      </w:r>
      <w:proofErr w:type="gramEnd"/>
      <w:r w:rsidR="00746C38">
        <w:rPr>
          <w:sz w:val="22"/>
          <w:szCs w:val="22"/>
        </w:rPr>
        <w:t xml:space="preserve"> Správu Polikliniky Kartouzská zajišťuje odbor majetku.</w:t>
      </w:r>
    </w:p>
    <w:p w:rsidR="005C5208" w:rsidRDefault="005C5208" w:rsidP="005C5208">
      <w:pPr>
        <w:widowControl w:val="0"/>
        <w:tabs>
          <w:tab w:val="left" w:pos="2304"/>
          <w:tab w:val="left" w:pos="3456"/>
          <w:tab w:val="left" w:pos="4608"/>
          <w:tab w:val="left" w:pos="5760"/>
          <w:tab w:val="left" w:pos="6912"/>
          <w:tab w:val="left" w:pos="8064"/>
          <w:tab w:val="left" w:pos="9216"/>
        </w:tabs>
        <w:autoSpaceDE w:val="0"/>
        <w:autoSpaceDN w:val="0"/>
        <w:adjustRightInd w:val="0"/>
        <w:ind w:right="144"/>
        <w:jc w:val="both"/>
        <w:rPr>
          <w:sz w:val="22"/>
          <w:szCs w:val="22"/>
        </w:rPr>
      </w:pPr>
      <w:r>
        <w:rPr>
          <w:sz w:val="22"/>
          <w:szCs w:val="22"/>
        </w:rPr>
        <w:t xml:space="preserve">Celkové výnosy představují částku 1.496 </w:t>
      </w:r>
      <w:r w:rsidR="005E1108">
        <w:rPr>
          <w:sz w:val="22"/>
          <w:szCs w:val="22"/>
        </w:rPr>
        <w:t>tis. Kč</w:t>
      </w:r>
      <w:r>
        <w:rPr>
          <w:sz w:val="22"/>
          <w:szCs w:val="22"/>
        </w:rPr>
        <w:t xml:space="preserve">, tj. plnění na 99,7 %. Hospodářským výsledkem je kladný výsledek hospodaření ve výši 882 </w:t>
      </w:r>
      <w:r w:rsidR="005E1108">
        <w:rPr>
          <w:sz w:val="22"/>
          <w:szCs w:val="22"/>
        </w:rPr>
        <w:t>tis. Kč</w:t>
      </w:r>
      <w:r>
        <w:rPr>
          <w:sz w:val="22"/>
          <w:szCs w:val="22"/>
        </w:rPr>
        <w:t>.</w:t>
      </w:r>
    </w:p>
    <w:p w:rsidR="005C5208" w:rsidRDefault="005C5208" w:rsidP="005C5208">
      <w:pPr>
        <w:rPr>
          <w:b/>
          <w:sz w:val="22"/>
          <w:szCs w:val="22"/>
        </w:rPr>
      </w:pPr>
    </w:p>
    <w:p w:rsidR="005C5208" w:rsidRDefault="005C5208" w:rsidP="005C5208">
      <w:pPr>
        <w:rPr>
          <w:b/>
          <w:sz w:val="22"/>
          <w:szCs w:val="22"/>
        </w:rPr>
      </w:pPr>
      <w:r>
        <w:rPr>
          <w:b/>
          <w:sz w:val="22"/>
          <w:szCs w:val="22"/>
        </w:rPr>
        <w:t xml:space="preserve">Poliklinika Barrandov, stř. 95 </w:t>
      </w:r>
    </w:p>
    <w:p w:rsidR="005C5208" w:rsidRDefault="005C5208" w:rsidP="005C5208">
      <w:pPr>
        <w:pStyle w:val="Zkladntext"/>
        <w:rPr>
          <w:sz w:val="22"/>
          <w:szCs w:val="22"/>
        </w:rPr>
      </w:pPr>
      <w:r>
        <w:rPr>
          <w:sz w:val="22"/>
          <w:szCs w:val="22"/>
        </w:rPr>
        <w:t xml:space="preserve">Náklady Polikliniky Barrandov představovaly částku 3.439 </w:t>
      </w:r>
      <w:r w:rsidR="005E1108">
        <w:rPr>
          <w:sz w:val="22"/>
          <w:szCs w:val="22"/>
        </w:rPr>
        <w:t>tis. Kč</w:t>
      </w:r>
      <w:r>
        <w:rPr>
          <w:sz w:val="22"/>
          <w:szCs w:val="22"/>
        </w:rPr>
        <w:t>, tj. plnění na 14,2 %. Nízké proce</w:t>
      </w:r>
      <w:r>
        <w:rPr>
          <w:sz w:val="22"/>
          <w:szCs w:val="22"/>
        </w:rPr>
        <w:t>n</w:t>
      </w:r>
      <w:r>
        <w:rPr>
          <w:sz w:val="22"/>
          <w:szCs w:val="22"/>
        </w:rPr>
        <w:t xml:space="preserve">to čerpání nákladů je z důvodu nečerpání oprav nad 200 </w:t>
      </w:r>
      <w:r w:rsidR="005E1108">
        <w:rPr>
          <w:sz w:val="22"/>
          <w:szCs w:val="22"/>
        </w:rPr>
        <w:t>tis. Kč</w:t>
      </w:r>
      <w:r>
        <w:rPr>
          <w:sz w:val="22"/>
          <w:szCs w:val="22"/>
        </w:rPr>
        <w:t xml:space="preserve">. </w:t>
      </w:r>
    </w:p>
    <w:p w:rsidR="005C5208" w:rsidRDefault="005C5208" w:rsidP="005C5208">
      <w:pPr>
        <w:pStyle w:val="Zkladntext"/>
        <w:rPr>
          <w:sz w:val="22"/>
          <w:szCs w:val="22"/>
        </w:rPr>
      </w:pPr>
      <w:r>
        <w:rPr>
          <w:sz w:val="22"/>
          <w:szCs w:val="22"/>
        </w:rPr>
        <w:t>Byla dokončena investiční akce z roku 2012 Krškova 807/21 – zastřešení hlavního schodiště.</w:t>
      </w:r>
    </w:p>
    <w:p w:rsidR="005C5208" w:rsidRDefault="005C5208" w:rsidP="005C5208">
      <w:pPr>
        <w:pStyle w:val="Zkladntext"/>
        <w:rPr>
          <w:sz w:val="22"/>
          <w:szCs w:val="22"/>
        </w:rPr>
      </w:pPr>
      <w:r>
        <w:rPr>
          <w:sz w:val="22"/>
          <w:szCs w:val="22"/>
        </w:rPr>
        <w:t xml:space="preserve">Výnosy činily 7.731 </w:t>
      </w:r>
      <w:r w:rsidR="005E1108">
        <w:rPr>
          <w:sz w:val="22"/>
          <w:szCs w:val="22"/>
        </w:rPr>
        <w:t>tis. Kč</w:t>
      </w:r>
      <w:r>
        <w:rPr>
          <w:sz w:val="22"/>
          <w:szCs w:val="22"/>
        </w:rPr>
        <w:t>, tj. plnění na 102,3 %. Hospodaření skončilo za sledované období kla</w:t>
      </w:r>
      <w:r>
        <w:rPr>
          <w:sz w:val="22"/>
          <w:szCs w:val="22"/>
        </w:rPr>
        <w:t>d</w:t>
      </w:r>
      <w:r>
        <w:rPr>
          <w:sz w:val="22"/>
          <w:szCs w:val="22"/>
        </w:rPr>
        <w:t xml:space="preserve">ným výsledkem hospodaření ve výši 4.292 </w:t>
      </w:r>
      <w:r w:rsidR="005E1108">
        <w:rPr>
          <w:sz w:val="22"/>
          <w:szCs w:val="22"/>
        </w:rPr>
        <w:t>tis. Kč</w:t>
      </w:r>
      <w:r>
        <w:rPr>
          <w:sz w:val="22"/>
          <w:szCs w:val="22"/>
        </w:rPr>
        <w:t>.</w:t>
      </w:r>
    </w:p>
    <w:p w:rsidR="005C5208" w:rsidRDefault="005C5208" w:rsidP="005C5208">
      <w:pPr>
        <w:rPr>
          <w:b/>
          <w:sz w:val="22"/>
          <w:szCs w:val="22"/>
        </w:rPr>
      </w:pPr>
    </w:p>
    <w:p w:rsidR="00B37722" w:rsidRDefault="00B37722" w:rsidP="005C5208">
      <w:pPr>
        <w:rPr>
          <w:b/>
          <w:sz w:val="22"/>
          <w:szCs w:val="22"/>
        </w:rPr>
      </w:pPr>
    </w:p>
    <w:p w:rsidR="005C5208" w:rsidRDefault="005C5208" w:rsidP="005C5208">
      <w:pPr>
        <w:rPr>
          <w:b/>
          <w:sz w:val="22"/>
          <w:szCs w:val="22"/>
        </w:rPr>
      </w:pPr>
      <w:r>
        <w:rPr>
          <w:b/>
          <w:sz w:val="22"/>
          <w:szCs w:val="22"/>
        </w:rPr>
        <w:t>Centra a.</w:t>
      </w:r>
      <w:r w:rsidR="00DA1EE4">
        <w:rPr>
          <w:b/>
          <w:sz w:val="22"/>
          <w:szCs w:val="22"/>
        </w:rPr>
        <w:t xml:space="preserve"> </w:t>
      </w:r>
      <w:r>
        <w:rPr>
          <w:b/>
          <w:sz w:val="22"/>
          <w:szCs w:val="22"/>
        </w:rPr>
        <w:t>s., stř. 97, nebytové prostory</w:t>
      </w:r>
    </w:p>
    <w:p w:rsidR="005C5208" w:rsidRDefault="005C5208" w:rsidP="005C5208">
      <w:pPr>
        <w:jc w:val="both"/>
        <w:rPr>
          <w:sz w:val="22"/>
          <w:szCs w:val="22"/>
        </w:rPr>
      </w:pPr>
      <w:r>
        <w:rPr>
          <w:sz w:val="22"/>
          <w:szCs w:val="22"/>
        </w:rPr>
        <w:t xml:space="preserve">Náklady výše uvedeného střediska představují za rok 2013 částku 7.020 </w:t>
      </w:r>
      <w:r w:rsidR="005E1108">
        <w:rPr>
          <w:sz w:val="22"/>
          <w:szCs w:val="22"/>
        </w:rPr>
        <w:t>tis. Kč</w:t>
      </w:r>
      <w:r>
        <w:rPr>
          <w:sz w:val="22"/>
          <w:szCs w:val="22"/>
        </w:rPr>
        <w:t>, tj. čerpání na 48,2 %. Ve sledovaném období byla zahájena příprava realizace nadlimitních akcí, avšak z objektivních dův</w:t>
      </w:r>
      <w:r>
        <w:rPr>
          <w:sz w:val="22"/>
          <w:szCs w:val="22"/>
        </w:rPr>
        <w:t>o</w:t>
      </w:r>
      <w:r>
        <w:rPr>
          <w:sz w:val="22"/>
          <w:szCs w:val="22"/>
        </w:rPr>
        <w:t>dů nedokončena u akcí schválených v plánu oprav pro rok 2013. Jedná se o Štefánikovu 17/247 - v</w:t>
      </w:r>
      <w:r>
        <w:rPr>
          <w:sz w:val="22"/>
          <w:szCs w:val="22"/>
        </w:rPr>
        <w:t>ý</w:t>
      </w:r>
      <w:r>
        <w:rPr>
          <w:sz w:val="22"/>
          <w:szCs w:val="22"/>
        </w:rPr>
        <w:t>měna oken do ulice i dvora a oprava fasády zadního traktu, Na Hřebenkách 3a/2765 – oprava elektri</w:t>
      </w:r>
      <w:r>
        <w:rPr>
          <w:sz w:val="22"/>
          <w:szCs w:val="22"/>
        </w:rPr>
        <w:t>c</w:t>
      </w:r>
      <w:r>
        <w:rPr>
          <w:sz w:val="22"/>
          <w:szCs w:val="22"/>
        </w:rPr>
        <w:t>ké rozvodny.</w:t>
      </w:r>
    </w:p>
    <w:p w:rsidR="005C5208" w:rsidRDefault="005C5208" w:rsidP="005C5208">
      <w:pPr>
        <w:jc w:val="both"/>
        <w:rPr>
          <w:sz w:val="22"/>
          <w:szCs w:val="22"/>
        </w:rPr>
      </w:pPr>
      <w:r>
        <w:rPr>
          <w:sz w:val="22"/>
          <w:szCs w:val="22"/>
        </w:rPr>
        <w:t xml:space="preserve">Výnosy činily 18.264 </w:t>
      </w:r>
      <w:r w:rsidR="005E1108">
        <w:rPr>
          <w:sz w:val="22"/>
          <w:szCs w:val="22"/>
        </w:rPr>
        <w:t>tis. Kč</w:t>
      </w:r>
      <w:r>
        <w:rPr>
          <w:sz w:val="22"/>
          <w:szCs w:val="22"/>
        </w:rPr>
        <w:t>, tj. plnění na 101,4 %. Výsledkem hospodaření</w:t>
      </w:r>
      <w:r w:rsidR="00AA76C9">
        <w:rPr>
          <w:sz w:val="22"/>
          <w:szCs w:val="22"/>
        </w:rPr>
        <w:t xml:space="preserve"> </w:t>
      </w:r>
      <w:r>
        <w:rPr>
          <w:sz w:val="22"/>
          <w:szCs w:val="22"/>
        </w:rPr>
        <w:t>za sledované období je kladný výsledek hospodaření ve výši 11.244 </w:t>
      </w:r>
      <w:r w:rsidR="005E1108">
        <w:rPr>
          <w:sz w:val="22"/>
          <w:szCs w:val="22"/>
        </w:rPr>
        <w:t>tis. Kč</w:t>
      </w:r>
      <w:r>
        <w:rPr>
          <w:sz w:val="22"/>
          <w:szCs w:val="22"/>
        </w:rPr>
        <w:t>.</w:t>
      </w:r>
    </w:p>
    <w:p w:rsidR="005C5208" w:rsidRDefault="005C5208" w:rsidP="005C5208">
      <w:pPr>
        <w:jc w:val="both"/>
        <w:rPr>
          <w:sz w:val="22"/>
          <w:szCs w:val="22"/>
        </w:rPr>
      </w:pPr>
    </w:p>
    <w:p w:rsidR="005C5208" w:rsidRDefault="005C5208" w:rsidP="005C5208">
      <w:pPr>
        <w:rPr>
          <w:b/>
          <w:sz w:val="22"/>
          <w:szCs w:val="22"/>
        </w:rPr>
      </w:pPr>
      <w:r>
        <w:rPr>
          <w:b/>
          <w:sz w:val="22"/>
          <w:szCs w:val="22"/>
        </w:rPr>
        <w:t>AquaDream a.</w:t>
      </w:r>
      <w:r w:rsidR="00DA1EE4">
        <w:rPr>
          <w:b/>
          <w:sz w:val="22"/>
          <w:szCs w:val="22"/>
        </w:rPr>
        <w:t xml:space="preserve"> </w:t>
      </w:r>
      <w:r>
        <w:rPr>
          <w:b/>
          <w:sz w:val="22"/>
          <w:szCs w:val="22"/>
        </w:rPr>
        <w:t>s. – Sportovní centrum Barrandov, stř. 98</w:t>
      </w:r>
    </w:p>
    <w:p w:rsidR="005C5208" w:rsidRDefault="005C5208" w:rsidP="005C5208">
      <w:pPr>
        <w:jc w:val="both"/>
        <w:rPr>
          <w:sz w:val="22"/>
          <w:szCs w:val="22"/>
        </w:rPr>
      </w:pPr>
      <w:r>
        <w:rPr>
          <w:sz w:val="22"/>
          <w:szCs w:val="22"/>
        </w:rPr>
        <w:t xml:space="preserve">Celkové náklady za sledované období představují částku 3.807 </w:t>
      </w:r>
      <w:r w:rsidR="005E1108">
        <w:rPr>
          <w:sz w:val="22"/>
          <w:szCs w:val="22"/>
        </w:rPr>
        <w:t>tis. Kč</w:t>
      </w:r>
      <w:r>
        <w:rPr>
          <w:sz w:val="22"/>
          <w:szCs w:val="22"/>
        </w:rPr>
        <w:t>, tj. čerpání na 33,2 %.</w:t>
      </w:r>
      <w:r w:rsidR="00AA76C9">
        <w:rPr>
          <w:sz w:val="22"/>
          <w:szCs w:val="22"/>
        </w:rPr>
        <w:t xml:space="preserve"> </w:t>
      </w:r>
      <w:r>
        <w:rPr>
          <w:sz w:val="22"/>
          <w:szCs w:val="22"/>
        </w:rPr>
        <w:t xml:space="preserve">Nízké procento čerpání je z důvodu nečerpání velkých oprav nad 200 </w:t>
      </w:r>
      <w:r w:rsidR="005E1108">
        <w:rPr>
          <w:sz w:val="22"/>
          <w:szCs w:val="22"/>
        </w:rPr>
        <w:t>tis. Kč</w:t>
      </w:r>
      <w:r>
        <w:rPr>
          <w:sz w:val="22"/>
          <w:szCs w:val="22"/>
        </w:rPr>
        <w:t xml:space="preserve"> za sledované období. Čerpány byly pouze opravy do 200 </w:t>
      </w:r>
      <w:r w:rsidR="005E1108">
        <w:rPr>
          <w:sz w:val="22"/>
          <w:szCs w:val="22"/>
        </w:rPr>
        <w:t>tis. Kč</w:t>
      </w:r>
      <w:r>
        <w:rPr>
          <w:sz w:val="22"/>
          <w:szCs w:val="22"/>
        </w:rPr>
        <w:t xml:space="preserve"> ve výši 2.003 </w:t>
      </w:r>
      <w:r w:rsidR="005E1108">
        <w:rPr>
          <w:sz w:val="22"/>
          <w:szCs w:val="22"/>
        </w:rPr>
        <w:t>tis. Kč</w:t>
      </w:r>
      <w:r>
        <w:rPr>
          <w:sz w:val="22"/>
          <w:szCs w:val="22"/>
        </w:rPr>
        <w:t xml:space="preserve"> na servisní práce, výměna sauny, drobná údržba zařízení – vířivky, čerpadla, termostatu, dveří a zámků. Na položce ostatní služby se jedná např. o propírání pískových náplní, údržba pozemku,</w:t>
      </w:r>
      <w:r w:rsidR="00AA76C9">
        <w:rPr>
          <w:sz w:val="22"/>
          <w:szCs w:val="22"/>
        </w:rPr>
        <w:t xml:space="preserve"> </w:t>
      </w:r>
      <w:r>
        <w:rPr>
          <w:sz w:val="22"/>
          <w:szCs w:val="22"/>
        </w:rPr>
        <w:t xml:space="preserve">revize tobogánů a skluzavek. </w:t>
      </w:r>
    </w:p>
    <w:p w:rsidR="005C5208" w:rsidRDefault="005C5208" w:rsidP="005C5208">
      <w:pPr>
        <w:jc w:val="both"/>
        <w:rPr>
          <w:sz w:val="22"/>
          <w:szCs w:val="22"/>
        </w:rPr>
      </w:pPr>
      <w:r>
        <w:rPr>
          <w:sz w:val="22"/>
          <w:szCs w:val="22"/>
        </w:rPr>
        <w:t>Celkové výnosy představují částku 46 </w:t>
      </w:r>
      <w:r w:rsidR="005E1108">
        <w:rPr>
          <w:sz w:val="22"/>
          <w:szCs w:val="22"/>
        </w:rPr>
        <w:t>tis. Kč</w:t>
      </w:r>
      <w:r>
        <w:rPr>
          <w:sz w:val="22"/>
          <w:szCs w:val="22"/>
        </w:rPr>
        <w:t>, tj. plnění na 109,5 %. Hospodářským výsledkem je z</w:t>
      </w:r>
      <w:r>
        <w:rPr>
          <w:sz w:val="22"/>
          <w:szCs w:val="22"/>
        </w:rPr>
        <w:t>á</w:t>
      </w:r>
      <w:r>
        <w:rPr>
          <w:sz w:val="22"/>
          <w:szCs w:val="22"/>
        </w:rPr>
        <w:t>porný výsledek hospodaření ve výši 3.761 </w:t>
      </w:r>
      <w:r w:rsidR="005E1108">
        <w:rPr>
          <w:sz w:val="22"/>
          <w:szCs w:val="22"/>
        </w:rPr>
        <w:t>tis. Kč</w:t>
      </w:r>
      <w:r>
        <w:rPr>
          <w:sz w:val="22"/>
          <w:szCs w:val="22"/>
        </w:rPr>
        <w:t>.</w:t>
      </w:r>
    </w:p>
    <w:p w:rsidR="005C5208" w:rsidRDefault="005C5208" w:rsidP="005C5208">
      <w:pPr>
        <w:jc w:val="both"/>
        <w:rPr>
          <w:sz w:val="22"/>
          <w:szCs w:val="22"/>
        </w:rPr>
      </w:pPr>
    </w:p>
    <w:p w:rsidR="005C5208" w:rsidRDefault="005C5208" w:rsidP="005C5208">
      <w:pPr>
        <w:rPr>
          <w:b/>
          <w:sz w:val="22"/>
          <w:szCs w:val="22"/>
        </w:rPr>
      </w:pPr>
      <w:r>
        <w:rPr>
          <w:b/>
          <w:sz w:val="22"/>
          <w:szCs w:val="22"/>
        </w:rPr>
        <w:t>ISCO spol. s.</w:t>
      </w:r>
      <w:r w:rsidR="00DA1EE4">
        <w:rPr>
          <w:b/>
          <w:sz w:val="22"/>
          <w:szCs w:val="22"/>
        </w:rPr>
        <w:t xml:space="preserve"> </w:t>
      </w:r>
      <w:r>
        <w:rPr>
          <w:b/>
          <w:sz w:val="22"/>
          <w:szCs w:val="22"/>
        </w:rPr>
        <w:t>r.</w:t>
      </w:r>
      <w:r w:rsidR="00DA1EE4">
        <w:rPr>
          <w:b/>
          <w:sz w:val="22"/>
          <w:szCs w:val="22"/>
        </w:rPr>
        <w:t xml:space="preserve"> </w:t>
      </w:r>
      <w:r>
        <w:rPr>
          <w:b/>
          <w:sz w:val="22"/>
          <w:szCs w:val="22"/>
        </w:rPr>
        <w:t>o. – areál Klikatá, stř. 99</w:t>
      </w:r>
    </w:p>
    <w:p w:rsidR="005C5208" w:rsidRDefault="005C5208" w:rsidP="005C5208">
      <w:pPr>
        <w:jc w:val="both"/>
        <w:rPr>
          <w:sz w:val="22"/>
          <w:szCs w:val="22"/>
        </w:rPr>
      </w:pPr>
      <w:r>
        <w:rPr>
          <w:sz w:val="22"/>
          <w:szCs w:val="22"/>
        </w:rPr>
        <w:t xml:space="preserve">Náklady za sledované období představovaly částku 3.612 </w:t>
      </w:r>
      <w:r w:rsidR="005E1108">
        <w:rPr>
          <w:sz w:val="22"/>
          <w:szCs w:val="22"/>
        </w:rPr>
        <w:t>tis. Kč</w:t>
      </w:r>
      <w:r>
        <w:rPr>
          <w:sz w:val="22"/>
          <w:szCs w:val="22"/>
        </w:rPr>
        <w:t>, tj. čerpání na 100,4 %. Vyšší proce</w:t>
      </w:r>
      <w:r>
        <w:rPr>
          <w:sz w:val="22"/>
          <w:szCs w:val="22"/>
        </w:rPr>
        <w:t>n</w:t>
      </w:r>
      <w:r>
        <w:rPr>
          <w:sz w:val="22"/>
          <w:szCs w:val="22"/>
        </w:rPr>
        <w:t>to čerpání nákladů vykazuje položka ostatní služby</w:t>
      </w:r>
      <w:r w:rsidR="00D02101">
        <w:rPr>
          <w:sz w:val="22"/>
          <w:szCs w:val="22"/>
        </w:rPr>
        <w:t xml:space="preserve"> 1.864 tis. Kč</w:t>
      </w:r>
      <w:r>
        <w:rPr>
          <w:sz w:val="22"/>
          <w:szCs w:val="22"/>
        </w:rPr>
        <w:t>, např. revize, úklid areálu, svoz o</w:t>
      </w:r>
      <w:r>
        <w:rPr>
          <w:sz w:val="22"/>
          <w:szCs w:val="22"/>
        </w:rPr>
        <w:t>d</w:t>
      </w:r>
      <w:r>
        <w:rPr>
          <w:sz w:val="22"/>
          <w:szCs w:val="22"/>
        </w:rPr>
        <w:t>padu</w:t>
      </w:r>
      <w:r w:rsidR="00D02101">
        <w:rPr>
          <w:sz w:val="22"/>
          <w:szCs w:val="22"/>
        </w:rPr>
        <w:t>, a položka jiné ostatní náklady ve výši 577 tis. Kč, která představuje náklady uplatněné koefic</w:t>
      </w:r>
      <w:r w:rsidR="00D02101">
        <w:rPr>
          <w:sz w:val="22"/>
          <w:szCs w:val="22"/>
        </w:rPr>
        <w:t>i</w:t>
      </w:r>
      <w:r w:rsidR="00D02101">
        <w:rPr>
          <w:sz w:val="22"/>
          <w:szCs w:val="22"/>
        </w:rPr>
        <w:t>entem DPH, opravné položky k pohledávkám a náklady z vyřazených pohledávek</w:t>
      </w:r>
      <w:r>
        <w:rPr>
          <w:sz w:val="22"/>
          <w:szCs w:val="22"/>
        </w:rPr>
        <w:t xml:space="preserve">. </w:t>
      </w:r>
    </w:p>
    <w:p w:rsidR="005C5208" w:rsidRDefault="005C5208" w:rsidP="005C5208">
      <w:pPr>
        <w:jc w:val="both"/>
        <w:rPr>
          <w:sz w:val="22"/>
          <w:szCs w:val="22"/>
        </w:rPr>
      </w:pPr>
      <w:r>
        <w:rPr>
          <w:sz w:val="22"/>
          <w:szCs w:val="22"/>
        </w:rPr>
        <w:t>Výnosy činily 2.197 </w:t>
      </w:r>
      <w:r w:rsidR="005E1108">
        <w:rPr>
          <w:sz w:val="22"/>
          <w:szCs w:val="22"/>
        </w:rPr>
        <w:t>tis. Kč</w:t>
      </w:r>
      <w:r>
        <w:rPr>
          <w:sz w:val="22"/>
          <w:szCs w:val="22"/>
        </w:rPr>
        <w:t xml:space="preserve">, tj. plnění na 103,8 %. Vyšší procento plnění výnosů je na položce ostatní výnosy </w:t>
      </w:r>
      <w:r w:rsidR="00D02101">
        <w:rPr>
          <w:sz w:val="22"/>
          <w:szCs w:val="22"/>
        </w:rPr>
        <w:t xml:space="preserve">ve výši 88 tis. Kč, která </w:t>
      </w:r>
      <w:proofErr w:type="gramStart"/>
      <w:r w:rsidR="00D02101">
        <w:rPr>
          <w:sz w:val="22"/>
          <w:szCs w:val="22"/>
        </w:rPr>
        <w:t>obsahuje</w:t>
      </w:r>
      <w:proofErr w:type="gramEnd"/>
      <w:r w:rsidR="00D02101">
        <w:rPr>
          <w:sz w:val="22"/>
          <w:szCs w:val="22"/>
        </w:rPr>
        <w:t xml:space="preserve"> úhradu výdajů na soudní řízení </w:t>
      </w:r>
      <w:proofErr w:type="gramStart"/>
      <w:r w:rsidR="00D02101">
        <w:rPr>
          <w:sz w:val="22"/>
          <w:szCs w:val="22"/>
        </w:rPr>
        <w:t>NEVO</w:t>
      </w:r>
      <w:proofErr w:type="gramEnd"/>
      <w:r w:rsidR="00D02101">
        <w:rPr>
          <w:sz w:val="22"/>
          <w:szCs w:val="22"/>
        </w:rPr>
        <w:t>, smluvní úroky z prodlení a výnosy za svoz komunálního odpadu</w:t>
      </w:r>
      <w:r>
        <w:rPr>
          <w:sz w:val="22"/>
          <w:szCs w:val="22"/>
        </w:rPr>
        <w:t>. Hospodářským výsledkem je záporný výs</w:t>
      </w:r>
      <w:r w:rsidR="003A3658">
        <w:rPr>
          <w:sz w:val="22"/>
          <w:szCs w:val="22"/>
        </w:rPr>
        <w:t>ledek hospodaření ve výši 1.415 </w:t>
      </w:r>
      <w:r w:rsidR="005E1108">
        <w:rPr>
          <w:sz w:val="22"/>
          <w:szCs w:val="22"/>
        </w:rPr>
        <w:t>tis. Kč</w:t>
      </w:r>
      <w:r>
        <w:rPr>
          <w:sz w:val="22"/>
          <w:szCs w:val="22"/>
        </w:rPr>
        <w:t>.</w:t>
      </w:r>
    </w:p>
    <w:p w:rsidR="005C5208" w:rsidRDefault="005C5208" w:rsidP="005C5208">
      <w:pPr>
        <w:rPr>
          <w:b/>
          <w:sz w:val="22"/>
          <w:szCs w:val="22"/>
        </w:rPr>
      </w:pPr>
    </w:p>
    <w:p w:rsidR="00661CDF" w:rsidRDefault="00661CDF" w:rsidP="00661CDF">
      <w:pPr>
        <w:pStyle w:val="Nadpis3"/>
      </w:pPr>
      <w:bookmarkStart w:id="34" w:name="_Toc385875217"/>
      <w:r>
        <w:t>Ostatní zdaňovaná činnost</w:t>
      </w:r>
      <w:bookmarkEnd w:id="34"/>
    </w:p>
    <w:p w:rsidR="005C5208" w:rsidRDefault="00661CDF" w:rsidP="005C5208">
      <w:pPr>
        <w:rPr>
          <w:b/>
          <w:sz w:val="22"/>
          <w:szCs w:val="22"/>
        </w:rPr>
      </w:pPr>
      <w:r>
        <w:rPr>
          <w:b/>
          <w:sz w:val="22"/>
          <w:szCs w:val="22"/>
        </w:rPr>
        <w:t>Činnost</w:t>
      </w:r>
      <w:r w:rsidR="00BC7F05">
        <w:rPr>
          <w:b/>
          <w:sz w:val="22"/>
          <w:szCs w:val="22"/>
        </w:rPr>
        <w:t xml:space="preserve"> realizovaná odbory, </w:t>
      </w:r>
      <w:r w:rsidR="005C5208">
        <w:rPr>
          <w:b/>
          <w:sz w:val="22"/>
          <w:szCs w:val="22"/>
        </w:rPr>
        <w:t xml:space="preserve">stř. 90 a 96 </w:t>
      </w:r>
    </w:p>
    <w:p w:rsidR="005C5208" w:rsidRDefault="005C5208" w:rsidP="005C5208">
      <w:pPr>
        <w:pStyle w:val="Zkladntext2"/>
        <w:rPr>
          <w:b w:val="0"/>
          <w:sz w:val="22"/>
          <w:szCs w:val="22"/>
        </w:rPr>
      </w:pPr>
      <w:r>
        <w:rPr>
          <w:b w:val="0"/>
          <w:sz w:val="22"/>
          <w:szCs w:val="22"/>
        </w:rPr>
        <w:t>Ostatní zdaňovanou činnost zajišťují odbory městské části a rozhodující z hlediska objemu finančních prostředků je prodej ma</w:t>
      </w:r>
      <w:r w:rsidR="00F00B17">
        <w:rPr>
          <w:b w:val="0"/>
          <w:sz w:val="22"/>
          <w:szCs w:val="22"/>
        </w:rPr>
        <w:t xml:space="preserve">jetku. Přehled je v tabulce č. </w:t>
      </w:r>
      <w:r w:rsidR="007D215D">
        <w:rPr>
          <w:b w:val="0"/>
          <w:sz w:val="22"/>
          <w:szCs w:val="22"/>
        </w:rPr>
        <w:t>5</w:t>
      </w:r>
      <w:r>
        <w:rPr>
          <w:b w:val="0"/>
          <w:sz w:val="22"/>
          <w:szCs w:val="22"/>
        </w:rPr>
        <w:t>.</w:t>
      </w:r>
      <w:r w:rsidR="00661CDF">
        <w:rPr>
          <w:b w:val="0"/>
          <w:sz w:val="22"/>
          <w:szCs w:val="22"/>
        </w:rPr>
        <w:t xml:space="preserve"> </w:t>
      </w:r>
      <w:r>
        <w:rPr>
          <w:b w:val="0"/>
          <w:sz w:val="22"/>
          <w:szCs w:val="22"/>
        </w:rPr>
        <w:t xml:space="preserve">Náklady představovaly částku 704.626 </w:t>
      </w:r>
      <w:r w:rsidR="005E1108">
        <w:rPr>
          <w:b w:val="0"/>
          <w:sz w:val="22"/>
          <w:szCs w:val="22"/>
        </w:rPr>
        <w:t>tis. Kč</w:t>
      </w:r>
      <w:r>
        <w:rPr>
          <w:b w:val="0"/>
          <w:sz w:val="22"/>
          <w:szCs w:val="22"/>
        </w:rPr>
        <w:t>, tj. čerpání na 93,5 %. Výnosy činily 975.556 </w:t>
      </w:r>
      <w:r w:rsidR="005E1108">
        <w:rPr>
          <w:b w:val="0"/>
          <w:sz w:val="22"/>
          <w:szCs w:val="22"/>
        </w:rPr>
        <w:t>tis. Kč</w:t>
      </w:r>
      <w:r w:rsidR="00661CDF">
        <w:rPr>
          <w:b w:val="0"/>
          <w:sz w:val="22"/>
          <w:szCs w:val="22"/>
        </w:rPr>
        <w:t>, tj. plnění na 106,8 %.</w:t>
      </w:r>
    </w:p>
    <w:p w:rsidR="00661CDF" w:rsidRDefault="00661CDF" w:rsidP="005C5208">
      <w:pPr>
        <w:pStyle w:val="Zkladntext2"/>
        <w:rPr>
          <w:rFonts w:eastAsia="Calibri"/>
          <w:sz w:val="22"/>
          <w:szCs w:val="22"/>
        </w:rPr>
      </w:pPr>
    </w:p>
    <w:p w:rsidR="005C5208" w:rsidRDefault="005C5208" w:rsidP="005C5208">
      <w:pPr>
        <w:jc w:val="both"/>
        <w:rPr>
          <w:rFonts w:eastAsia="Calibri"/>
          <w:sz w:val="22"/>
          <w:szCs w:val="22"/>
        </w:rPr>
      </w:pPr>
      <w:r>
        <w:rPr>
          <w:rFonts w:eastAsia="Calibri"/>
          <w:sz w:val="22"/>
          <w:szCs w:val="22"/>
        </w:rPr>
        <w:t>Největší nákladovou položku představuje zůstatková cena prodaného majetku (UR 424.000 </w:t>
      </w:r>
      <w:r w:rsidR="005E1108">
        <w:rPr>
          <w:rFonts w:eastAsia="Calibri"/>
          <w:sz w:val="22"/>
          <w:szCs w:val="22"/>
        </w:rPr>
        <w:t>tis. Kč</w:t>
      </w:r>
      <w:r>
        <w:rPr>
          <w:rFonts w:eastAsia="Calibri"/>
          <w:sz w:val="22"/>
          <w:szCs w:val="22"/>
        </w:rPr>
        <w:t xml:space="preserve">, skutečnost 421.097 </w:t>
      </w:r>
      <w:r w:rsidR="005E1108">
        <w:rPr>
          <w:rFonts w:eastAsia="Calibri"/>
          <w:sz w:val="22"/>
          <w:szCs w:val="22"/>
        </w:rPr>
        <w:t>tis. Kč</w:t>
      </w:r>
      <w:r>
        <w:rPr>
          <w:rFonts w:eastAsia="Calibri"/>
          <w:sz w:val="22"/>
          <w:szCs w:val="22"/>
        </w:rPr>
        <w:t xml:space="preserve">), tj. čerpání na 99,3 %, dále náklady z přecenění reálnou hodnotou (UP 171.571 </w:t>
      </w:r>
      <w:r w:rsidR="005E1108">
        <w:rPr>
          <w:rFonts w:eastAsia="Calibri"/>
          <w:sz w:val="22"/>
          <w:szCs w:val="22"/>
        </w:rPr>
        <w:t>tis. Kč</w:t>
      </w:r>
      <w:r>
        <w:rPr>
          <w:rFonts w:eastAsia="Calibri"/>
          <w:sz w:val="22"/>
          <w:szCs w:val="22"/>
        </w:rPr>
        <w:t xml:space="preserve">, skutečnost 159.762 </w:t>
      </w:r>
      <w:r w:rsidR="005E1108">
        <w:rPr>
          <w:rFonts w:eastAsia="Calibri"/>
          <w:sz w:val="22"/>
          <w:szCs w:val="22"/>
        </w:rPr>
        <w:t>tis. Kč</w:t>
      </w:r>
      <w:r>
        <w:rPr>
          <w:rFonts w:eastAsia="Calibri"/>
          <w:sz w:val="22"/>
          <w:szCs w:val="22"/>
        </w:rPr>
        <w:t>).</w:t>
      </w:r>
    </w:p>
    <w:p w:rsidR="00661CDF" w:rsidRDefault="00661CDF" w:rsidP="005C5208">
      <w:pPr>
        <w:jc w:val="both"/>
        <w:rPr>
          <w:rFonts w:eastAsia="Calibri"/>
          <w:sz w:val="22"/>
          <w:szCs w:val="22"/>
        </w:rPr>
      </w:pPr>
    </w:p>
    <w:p w:rsidR="005C5208" w:rsidRDefault="005C5208" w:rsidP="00661CDF">
      <w:pPr>
        <w:jc w:val="both"/>
        <w:rPr>
          <w:sz w:val="22"/>
          <w:szCs w:val="22"/>
        </w:rPr>
      </w:pPr>
      <w:r>
        <w:rPr>
          <w:rFonts w:eastAsia="Calibri"/>
          <w:sz w:val="22"/>
          <w:szCs w:val="22"/>
        </w:rPr>
        <w:t>Největší výnosovou položkou je prodej majetku privatizace (UP</w:t>
      </w:r>
      <w:r w:rsidR="0071629D">
        <w:rPr>
          <w:rFonts w:eastAsia="Calibri"/>
          <w:sz w:val="22"/>
          <w:szCs w:val="22"/>
        </w:rPr>
        <w:t xml:space="preserve"> </w:t>
      </w:r>
      <w:r>
        <w:rPr>
          <w:rFonts w:eastAsia="Calibri"/>
          <w:sz w:val="22"/>
          <w:szCs w:val="22"/>
        </w:rPr>
        <w:t xml:space="preserve">455.000 </w:t>
      </w:r>
      <w:r w:rsidR="005E1108">
        <w:rPr>
          <w:rFonts w:eastAsia="Calibri"/>
          <w:sz w:val="22"/>
          <w:szCs w:val="22"/>
        </w:rPr>
        <w:t>tis. Kč</w:t>
      </w:r>
      <w:r>
        <w:rPr>
          <w:rFonts w:eastAsia="Calibri"/>
          <w:sz w:val="22"/>
          <w:szCs w:val="22"/>
        </w:rPr>
        <w:t>, skutečnost 532.910 </w:t>
      </w:r>
      <w:r w:rsidR="005E1108">
        <w:rPr>
          <w:rFonts w:eastAsia="Calibri"/>
          <w:sz w:val="22"/>
          <w:szCs w:val="22"/>
        </w:rPr>
        <w:t>tis. Kč</w:t>
      </w:r>
      <w:r>
        <w:rPr>
          <w:rFonts w:eastAsia="Calibri"/>
          <w:sz w:val="22"/>
          <w:szCs w:val="22"/>
        </w:rPr>
        <w:t>), dále výnosy z přecenění reálnou hodnotou (U</w:t>
      </w:r>
      <w:r w:rsidR="00DA1EE4">
        <w:rPr>
          <w:rFonts w:eastAsia="Calibri"/>
          <w:sz w:val="22"/>
          <w:szCs w:val="22"/>
        </w:rPr>
        <w:t>P</w:t>
      </w:r>
      <w:r>
        <w:rPr>
          <w:rFonts w:eastAsia="Calibri"/>
          <w:sz w:val="22"/>
          <w:szCs w:val="22"/>
        </w:rPr>
        <w:t xml:space="preserve"> 417.000 </w:t>
      </w:r>
      <w:r w:rsidR="005E1108">
        <w:rPr>
          <w:rFonts w:eastAsia="Calibri"/>
          <w:sz w:val="22"/>
          <w:szCs w:val="22"/>
        </w:rPr>
        <w:t>tis. Kč</w:t>
      </w:r>
      <w:r>
        <w:rPr>
          <w:rFonts w:eastAsia="Calibri"/>
          <w:sz w:val="22"/>
          <w:szCs w:val="22"/>
        </w:rPr>
        <w:t>, skutečnost 436.562 </w:t>
      </w:r>
      <w:r w:rsidR="005E1108">
        <w:rPr>
          <w:rFonts w:eastAsia="Calibri"/>
          <w:sz w:val="22"/>
          <w:szCs w:val="22"/>
        </w:rPr>
        <w:t>tis. Kč</w:t>
      </w:r>
      <w:r>
        <w:rPr>
          <w:rFonts w:eastAsia="Calibri"/>
          <w:sz w:val="22"/>
          <w:szCs w:val="22"/>
        </w:rPr>
        <w:t>), tj. plnění na 104,7 %.</w:t>
      </w:r>
      <w:r w:rsidR="00661CDF">
        <w:rPr>
          <w:rFonts w:eastAsia="Calibri"/>
          <w:sz w:val="22"/>
          <w:szCs w:val="22"/>
        </w:rPr>
        <w:t xml:space="preserve"> </w:t>
      </w:r>
      <w:r w:rsidRPr="0030448B">
        <w:rPr>
          <w:sz w:val="22"/>
          <w:szCs w:val="22"/>
        </w:rPr>
        <w:t xml:space="preserve">Na položce ostatní výnosy </w:t>
      </w:r>
      <w:r w:rsidR="00654FA7">
        <w:rPr>
          <w:sz w:val="22"/>
          <w:szCs w:val="22"/>
        </w:rPr>
        <w:t>odboru bytů a privatizace</w:t>
      </w:r>
      <w:r w:rsidRPr="0030448B">
        <w:rPr>
          <w:sz w:val="22"/>
          <w:szCs w:val="22"/>
        </w:rPr>
        <w:t xml:space="preserve"> je vyk</w:t>
      </w:r>
      <w:r w:rsidRPr="0030448B">
        <w:rPr>
          <w:sz w:val="22"/>
          <w:szCs w:val="22"/>
        </w:rPr>
        <w:t>á</w:t>
      </w:r>
      <w:r w:rsidRPr="0030448B">
        <w:rPr>
          <w:sz w:val="22"/>
          <w:szCs w:val="22"/>
        </w:rPr>
        <w:t xml:space="preserve">zaná částka ve výši 51.880 </w:t>
      </w:r>
      <w:r w:rsidR="005E1108">
        <w:rPr>
          <w:sz w:val="22"/>
          <w:szCs w:val="22"/>
        </w:rPr>
        <w:t>tis. Kč</w:t>
      </w:r>
      <w:r w:rsidRPr="0030448B">
        <w:rPr>
          <w:sz w:val="22"/>
          <w:szCs w:val="22"/>
        </w:rPr>
        <w:t xml:space="preserve"> za prodej pozemků. Tento prodej byl zrealizován</w:t>
      </w:r>
      <w:r w:rsidR="00AA76C9">
        <w:rPr>
          <w:sz w:val="22"/>
          <w:szCs w:val="22"/>
        </w:rPr>
        <w:t xml:space="preserve"> </w:t>
      </w:r>
      <w:r w:rsidRPr="0030448B">
        <w:rPr>
          <w:sz w:val="22"/>
          <w:szCs w:val="22"/>
        </w:rPr>
        <w:t>až v průběhu dr</w:t>
      </w:r>
      <w:r w:rsidRPr="0030448B">
        <w:rPr>
          <w:sz w:val="22"/>
          <w:szCs w:val="22"/>
        </w:rPr>
        <w:t>u</w:t>
      </w:r>
      <w:r w:rsidRPr="0030448B">
        <w:rPr>
          <w:sz w:val="22"/>
          <w:szCs w:val="22"/>
        </w:rPr>
        <w:t>hé poloviny prosince 2013, tudíž nemohla být provedena úprava plá</w:t>
      </w:r>
      <w:r w:rsidR="00661CDF">
        <w:rPr>
          <w:sz w:val="22"/>
          <w:szCs w:val="22"/>
        </w:rPr>
        <w:t>nu na této položce.</w:t>
      </w:r>
    </w:p>
    <w:p w:rsidR="00661CDF" w:rsidRPr="0030448B" w:rsidRDefault="00661CDF" w:rsidP="005C5208">
      <w:pPr>
        <w:rPr>
          <w:sz w:val="22"/>
          <w:szCs w:val="22"/>
        </w:rPr>
      </w:pPr>
    </w:p>
    <w:p w:rsidR="005C5208" w:rsidRDefault="005C5208" w:rsidP="005C5208">
      <w:pPr>
        <w:pStyle w:val="Zkladntext2"/>
        <w:rPr>
          <w:b w:val="0"/>
          <w:sz w:val="22"/>
          <w:szCs w:val="22"/>
        </w:rPr>
      </w:pPr>
      <w:r>
        <w:rPr>
          <w:b w:val="0"/>
          <w:sz w:val="22"/>
          <w:szCs w:val="22"/>
        </w:rPr>
        <w:t xml:space="preserve">Ostatní zdaňovaná činnost skončila za sledované období kladným výsledkem hospodaření ve výši 270.930 </w:t>
      </w:r>
      <w:r w:rsidR="005E1108">
        <w:rPr>
          <w:b w:val="0"/>
          <w:sz w:val="22"/>
          <w:szCs w:val="22"/>
        </w:rPr>
        <w:t>tis. Kč</w:t>
      </w:r>
      <w:r>
        <w:rPr>
          <w:b w:val="0"/>
          <w:sz w:val="22"/>
          <w:szCs w:val="22"/>
        </w:rPr>
        <w:t>.</w:t>
      </w:r>
    </w:p>
    <w:p w:rsidR="00B80A1D" w:rsidRDefault="00B80A1D" w:rsidP="008F1D14">
      <w:pPr>
        <w:rPr>
          <w:b/>
        </w:rPr>
      </w:pPr>
    </w:p>
    <w:p w:rsidR="008F1D14" w:rsidRPr="004E528D" w:rsidRDefault="008F1D14" w:rsidP="00661CDF">
      <w:pPr>
        <w:pStyle w:val="Nadpis3"/>
      </w:pPr>
      <w:bookmarkStart w:id="35" w:name="_Toc385875218"/>
      <w:r w:rsidRPr="004E528D">
        <w:t>Výsledky hospodaření</w:t>
      </w:r>
      <w:r w:rsidR="00133439">
        <w:t xml:space="preserve"> zdaňované činnosti</w:t>
      </w:r>
      <w:bookmarkEnd w:id="35"/>
    </w:p>
    <w:p w:rsidR="008F1D14" w:rsidRPr="00C406EA" w:rsidRDefault="008F1D14" w:rsidP="008F1D14">
      <w:pPr>
        <w:pStyle w:val="Zhlav"/>
        <w:tabs>
          <w:tab w:val="left" w:pos="708"/>
        </w:tabs>
        <w:jc w:val="both"/>
        <w:rPr>
          <w:sz w:val="22"/>
          <w:szCs w:val="22"/>
        </w:rPr>
      </w:pPr>
      <w:r w:rsidRPr="008F1D14">
        <w:rPr>
          <w:sz w:val="22"/>
          <w:szCs w:val="22"/>
        </w:rPr>
        <w:t xml:space="preserve">Za rok 2013 celkové náklady zdaňované činnosti představují částku 797.283 </w:t>
      </w:r>
      <w:r w:rsidR="005E1108">
        <w:rPr>
          <w:sz w:val="22"/>
          <w:szCs w:val="22"/>
        </w:rPr>
        <w:t>tis. Kč</w:t>
      </w:r>
      <w:r w:rsidRPr="008F1D14">
        <w:rPr>
          <w:sz w:val="22"/>
          <w:szCs w:val="22"/>
        </w:rPr>
        <w:t xml:space="preserve"> tj. plnění na 85 % a výnosy částku 1.186.702 </w:t>
      </w:r>
      <w:r w:rsidR="005E1108">
        <w:rPr>
          <w:sz w:val="22"/>
          <w:szCs w:val="22"/>
        </w:rPr>
        <w:t>tis. Kč</w:t>
      </w:r>
      <w:r w:rsidRPr="008F1D14">
        <w:rPr>
          <w:sz w:val="22"/>
          <w:szCs w:val="22"/>
        </w:rPr>
        <w:t xml:space="preserve"> tj. plnění na 107,6 %. Kladný hospodářský výsledek byl ve výši 389.419 </w:t>
      </w:r>
      <w:r w:rsidR="005E1108">
        <w:rPr>
          <w:sz w:val="22"/>
          <w:szCs w:val="22"/>
        </w:rPr>
        <w:t>tis. Kč</w:t>
      </w:r>
      <w:r w:rsidRPr="008F1D14">
        <w:rPr>
          <w:sz w:val="22"/>
          <w:szCs w:val="22"/>
        </w:rPr>
        <w:t>. Finanční prostředky na běžných účtech</w:t>
      </w:r>
      <w:r w:rsidRPr="008F1D14">
        <w:rPr>
          <w:bCs/>
          <w:sz w:val="22"/>
          <w:szCs w:val="22"/>
        </w:rPr>
        <w:t xml:space="preserve"> </w:t>
      </w:r>
      <w:r w:rsidRPr="008F1D14">
        <w:rPr>
          <w:sz w:val="22"/>
          <w:szCs w:val="22"/>
        </w:rPr>
        <w:t>hospodářské činnosti činily k 31.</w:t>
      </w:r>
      <w:r w:rsidR="00C74BB7">
        <w:rPr>
          <w:sz w:val="22"/>
          <w:szCs w:val="22"/>
        </w:rPr>
        <w:t xml:space="preserve"> </w:t>
      </w:r>
      <w:r w:rsidRPr="008F1D14">
        <w:rPr>
          <w:sz w:val="22"/>
          <w:szCs w:val="22"/>
        </w:rPr>
        <w:t>12.</w:t>
      </w:r>
      <w:r w:rsidR="00C74BB7">
        <w:rPr>
          <w:sz w:val="22"/>
          <w:szCs w:val="22"/>
        </w:rPr>
        <w:t xml:space="preserve"> </w:t>
      </w:r>
      <w:r w:rsidRPr="008F1D14">
        <w:rPr>
          <w:sz w:val="22"/>
          <w:szCs w:val="22"/>
        </w:rPr>
        <w:t>2013 celkem 736.112.957,39</w:t>
      </w:r>
      <w:r w:rsidR="005E1108">
        <w:rPr>
          <w:sz w:val="22"/>
          <w:szCs w:val="22"/>
        </w:rPr>
        <w:t> Kč</w:t>
      </w:r>
      <w:r w:rsidRPr="008F1D14">
        <w:rPr>
          <w:sz w:val="22"/>
          <w:szCs w:val="22"/>
        </w:rPr>
        <w:t>.</w:t>
      </w:r>
      <w:r w:rsidR="00F00B17">
        <w:rPr>
          <w:sz w:val="22"/>
          <w:szCs w:val="22"/>
        </w:rPr>
        <w:t xml:space="preserve"> Celkový přehled o hospodaření je uveden v příloze č. 5.</w:t>
      </w:r>
    </w:p>
    <w:p w:rsidR="008F1D14" w:rsidRDefault="008F1D14" w:rsidP="008F1D14">
      <w:pPr>
        <w:rPr>
          <w:b/>
          <w:sz w:val="22"/>
          <w:szCs w:val="22"/>
        </w:rPr>
      </w:pPr>
    </w:p>
    <w:p w:rsidR="008F1D14" w:rsidRDefault="008F1D14" w:rsidP="008F1D14">
      <w:pPr>
        <w:ind w:right="-284"/>
        <w:rPr>
          <w:b/>
          <w:bCs/>
          <w:sz w:val="22"/>
          <w:szCs w:val="22"/>
        </w:rPr>
      </w:pPr>
      <w:r w:rsidRPr="00885CCD">
        <w:rPr>
          <w:b/>
          <w:sz w:val="22"/>
          <w:szCs w:val="22"/>
        </w:rPr>
        <w:t xml:space="preserve">Souhrnný přehled hospodaření zdaňované činnosti </w:t>
      </w:r>
    </w:p>
    <w:p w:rsidR="000F3DC2" w:rsidRPr="00133439" w:rsidRDefault="00133439" w:rsidP="00654FA7">
      <w:pPr>
        <w:ind w:right="-284"/>
        <w:jc w:val="center"/>
        <w:rPr>
          <w:bCs/>
          <w:sz w:val="22"/>
          <w:szCs w:val="22"/>
        </w:rPr>
      </w:pPr>
      <w:r w:rsidRPr="00133439">
        <w:rPr>
          <w:sz w:val="22"/>
          <w:szCs w:val="22"/>
        </w:rPr>
        <w:t xml:space="preserve">                                                                                                                                                </w:t>
      </w:r>
      <w:r w:rsidR="000F3DC2" w:rsidRPr="00133439">
        <w:rPr>
          <w:sz w:val="22"/>
          <w:szCs w:val="22"/>
        </w:rPr>
        <w:t>v tis. Kč</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142"/>
        <w:gridCol w:w="1300"/>
        <w:gridCol w:w="1300"/>
        <w:gridCol w:w="1299"/>
        <w:gridCol w:w="1054"/>
        <w:gridCol w:w="1134"/>
      </w:tblGrid>
      <w:tr w:rsidR="008F1D14" w:rsidRPr="00C4542A" w:rsidTr="00654FA7">
        <w:trPr>
          <w:trHeight w:val="761"/>
        </w:trPr>
        <w:tc>
          <w:tcPr>
            <w:tcW w:w="1843"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8F1D14" w:rsidRPr="00C4542A" w:rsidRDefault="008F1D14" w:rsidP="00F34142">
            <w:pPr>
              <w:jc w:val="center"/>
              <w:rPr>
                <w:b/>
                <w:sz w:val="20"/>
                <w:szCs w:val="20"/>
              </w:rPr>
            </w:pPr>
            <w:r w:rsidRPr="00C4542A">
              <w:rPr>
                <w:b/>
                <w:sz w:val="20"/>
                <w:szCs w:val="20"/>
              </w:rPr>
              <w:t>Druh</w:t>
            </w:r>
          </w:p>
        </w:tc>
        <w:tc>
          <w:tcPr>
            <w:tcW w:w="1142"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8F1D14" w:rsidRPr="00C4542A" w:rsidRDefault="008F1D14" w:rsidP="00F34142">
            <w:pPr>
              <w:jc w:val="center"/>
              <w:rPr>
                <w:b/>
                <w:sz w:val="20"/>
                <w:szCs w:val="20"/>
              </w:rPr>
            </w:pPr>
            <w:r w:rsidRPr="00C4542A">
              <w:rPr>
                <w:b/>
                <w:sz w:val="20"/>
                <w:szCs w:val="20"/>
              </w:rPr>
              <w:t>Schválený plán</w:t>
            </w:r>
          </w:p>
        </w:tc>
        <w:tc>
          <w:tcPr>
            <w:tcW w:w="130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8F1D14" w:rsidRPr="00C4542A" w:rsidRDefault="008F1D14" w:rsidP="00F34142">
            <w:pPr>
              <w:jc w:val="center"/>
              <w:rPr>
                <w:b/>
                <w:sz w:val="20"/>
                <w:szCs w:val="20"/>
              </w:rPr>
            </w:pPr>
            <w:r w:rsidRPr="00C4542A">
              <w:rPr>
                <w:b/>
                <w:sz w:val="20"/>
                <w:szCs w:val="20"/>
              </w:rPr>
              <w:t>Úpravy</w:t>
            </w:r>
          </w:p>
        </w:tc>
        <w:tc>
          <w:tcPr>
            <w:tcW w:w="130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8F1D14" w:rsidRPr="00C4542A" w:rsidRDefault="008F1D14" w:rsidP="00F34142">
            <w:pPr>
              <w:jc w:val="center"/>
              <w:rPr>
                <w:b/>
                <w:sz w:val="20"/>
                <w:szCs w:val="20"/>
              </w:rPr>
            </w:pPr>
            <w:r w:rsidRPr="00C4542A">
              <w:rPr>
                <w:b/>
                <w:sz w:val="20"/>
                <w:szCs w:val="20"/>
              </w:rPr>
              <w:t>Upravený plán</w:t>
            </w:r>
          </w:p>
        </w:tc>
        <w:tc>
          <w:tcPr>
            <w:tcW w:w="129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8F1D14" w:rsidRPr="00C4542A" w:rsidRDefault="008F1D14" w:rsidP="00F34142">
            <w:pPr>
              <w:jc w:val="center"/>
              <w:rPr>
                <w:b/>
                <w:sz w:val="20"/>
                <w:szCs w:val="20"/>
              </w:rPr>
            </w:pPr>
            <w:r w:rsidRPr="00C4542A">
              <w:rPr>
                <w:b/>
                <w:sz w:val="20"/>
                <w:szCs w:val="20"/>
              </w:rPr>
              <w:t>Plnění k 31.12.2013</w:t>
            </w:r>
          </w:p>
        </w:tc>
        <w:tc>
          <w:tcPr>
            <w:tcW w:w="105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8F1D14" w:rsidRPr="00C4542A" w:rsidRDefault="008F1D14" w:rsidP="00F34142">
            <w:pPr>
              <w:jc w:val="center"/>
              <w:rPr>
                <w:b/>
                <w:sz w:val="20"/>
                <w:szCs w:val="20"/>
              </w:rPr>
            </w:pPr>
            <w:r w:rsidRPr="00C4542A">
              <w:rPr>
                <w:b/>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8F1D14" w:rsidRPr="00C4542A" w:rsidRDefault="008F1D14" w:rsidP="00F34142">
            <w:pPr>
              <w:ind w:right="-108"/>
              <w:jc w:val="center"/>
              <w:rPr>
                <w:b/>
                <w:sz w:val="20"/>
                <w:szCs w:val="20"/>
              </w:rPr>
            </w:pPr>
            <w:r w:rsidRPr="00C4542A">
              <w:rPr>
                <w:b/>
                <w:sz w:val="20"/>
                <w:szCs w:val="20"/>
              </w:rPr>
              <w:t>Plnění k 31.12.2012</w:t>
            </w:r>
          </w:p>
        </w:tc>
      </w:tr>
      <w:tr w:rsidR="008F1D14" w:rsidRPr="00C4542A" w:rsidTr="00654FA7">
        <w:tc>
          <w:tcPr>
            <w:tcW w:w="1843"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4564B">
            <w:pPr>
              <w:spacing w:line="360" w:lineRule="auto"/>
              <w:rPr>
                <w:sz w:val="20"/>
                <w:szCs w:val="20"/>
              </w:rPr>
            </w:pPr>
            <w:r w:rsidRPr="00C4542A">
              <w:rPr>
                <w:sz w:val="20"/>
                <w:szCs w:val="20"/>
              </w:rPr>
              <w:t>Opravy a údržba</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169.147,0</w:t>
            </w:r>
            <w:r w:rsidR="000F3DC2"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- 16.518,7</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152.628,3</w:t>
            </w:r>
            <w:r w:rsidR="0004564B" w:rsidRPr="00C4542A">
              <w:rPr>
                <w:sz w:val="20"/>
                <w:szCs w:val="20"/>
              </w:rPr>
              <w:t>0</w:t>
            </w:r>
          </w:p>
        </w:tc>
        <w:tc>
          <w:tcPr>
            <w:tcW w:w="1299"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49.406,0</w:t>
            </w:r>
            <w:r w:rsidR="0004564B" w:rsidRPr="00C4542A">
              <w:rPr>
                <w:sz w:val="20"/>
                <w:szCs w:val="20"/>
              </w:rPr>
              <w:t>0</w:t>
            </w:r>
          </w:p>
        </w:tc>
        <w:tc>
          <w:tcPr>
            <w:tcW w:w="105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BC7F05">
            <w:pPr>
              <w:jc w:val="center"/>
              <w:rPr>
                <w:sz w:val="20"/>
                <w:szCs w:val="20"/>
              </w:rPr>
            </w:pPr>
            <w:r w:rsidRPr="00C4542A">
              <w:rPr>
                <w:sz w:val="20"/>
                <w:szCs w:val="20"/>
              </w:rPr>
              <w:t>32,4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ind w:right="-108"/>
              <w:jc w:val="right"/>
              <w:rPr>
                <w:sz w:val="20"/>
                <w:szCs w:val="20"/>
              </w:rPr>
            </w:pPr>
            <w:r w:rsidRPr="00C4542A">
              <w:rPr>
                <w:sz w:val="20"/>
                <w:szCs w:val="20"/>
              </w:rPr>
              <w:t>78.546,</w:t>
            </w:r>
            <w:r w:rsidR="0004564B" w:rsidRPr="00C4542A">
              <w:rPr>
                <w:sz w:val="20"/>
                <w:szCs w:val="20"/>
              </w:rPr>
              <w:t>0</w:t>
            </w:r>
            <w:r w:rsidRPr="00C4542A">
              <w:rPr>
                <w:sz w:val="20"/>
                <w:szCs w:val="20"/>
              </w:rPr>
              <w:t>0</w:t>
            </w:r>
          </w:p>
        </w:tc>
      </w:tr>
      <w:tr w:rsidR="008F1D14" w:rsidRPr="00C4542A" w:rsidTr="00654FA7">
        <w:tc>
          <w:tcPr>
            <w:tcW w:w="1843"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4564B">
            <w:pPr>
              <w:spacing w:line="360" w:lineRule="auto"/>
              <w:rPr>
                <w:sz w:val="20"/>
                <w:szCs w:val="20"/>
              </w:rPr>
            </w:pPr>
            <w:r w:rsidRPr="00C4542A">
              <w:rPr>
                <w:sz w:val="20"/>
                <w:szCs w:val="20"/>
              </w:rPr>
              <w:t>Odpisy majetku</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20.300,</w:t>
            </w:r>
            <w:r w:rsidR="0004564B" w:rsidRPr="00C4542A">
              <w:rPr>
                <w:sz w:val="20"/>
                <w:szCs w:val="20"/>
              </w:rPr>
              <w:t>0</w:t>
            </w:r>
            <w:r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0,0</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20.300,0</w:t>
            </w:r>
            <w:r w:rsidR="0004564B" w:rsidRPr="00C4542A">
              <w:rPr>
                <w:sz w:val="20"/>
                <w:szCs w:val="20"/>
              </w:rPr>
              <w:t>0</w:t>
            </w:r>
          </w:p>
        </w:tc>
        <w:tc>
          <w:tcPr>
            <w:tcW w:w="1299"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19.803,0</w:t>
            </w:r>
            <w:r w:rsidR="0004564B" w:rsidRPr="00C4542A">
              <w:rPr>
                <w:sz w:val="20"/>
                <w:szCs w:val="20"/>
              </w:rPr>
              <w:t>0</w:t>
            </w:r>
          </w:p>
        </w:tc>
        <w:tc>
          <w:tcPr>
            <w:tcW w:w="105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BC7F05">
            <w:pPr>
              <w:jc w:val="center"/>
              <w:rPr>
                <w:sz w:val="20"/>
                <w:szCs w:val="20"/>
              </w:rPr>
            </w:pPr>
            <w:r w:rsidRPr="00C4542A">
              <w:rPr>
                <w:sz w:val="20"/>
                <w:szCs w:val="20"/>
              </w:rPr>
              <w:t>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ind w:right="-108"/>
              <w:jc w:val="right"/>
              <w:rPr>
                <w:sz w:val="20"/>
                <w:szCs w:val="20"/>
              </w:rPr>
            </w:pPr>
            <w:r w:rsidRPr="00C4542A">
              <w:rPr>
                <w:sz w:val="20"/>
                <w:szCs w:val="20"/>
              </w:rPr>
              <w:t>22.202,</w:t>
            </w:r>
            <w:r w:rsidR="0004564B" w:rsidRPr="00C4542A">
              <w:rPr>
                <w:sz w:val="20"/>
                <w:szCs w:val="20"/>
              </w:rPr>
              <w:t>0</w:t>
            </w:r>
            <w:r w:rsidRPr="00C4542A">
              <w:rPr>
                <w:sz w:val="20"/>
                <w:szCs w:val="20"/>
              </w:rPr>
              <w:t>0</w:t>
            </w:r>
          </w:p>
        </w:tc>
      </w:tr>
      <w:tr w:rsidR="008F1D14" w:rsidRPr="00C4542A" w:rsidTr="00654FA7">
        <w:tc>
          <w:tcPr>
            <w:tcW w:w="1843"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4564B">
            <w:pPr>
              <w:rPr>
                <w:sz w:val="20"/>
                <w:szCs w:val="20"/>
              </w:rPr>
            </w:pPr>
            <w:r w:rsidRPr="00C4542A">
              <w:rPr>
                <w:sz w:val="20"/>
                <w:szCs w:val="20"/>
              </w:rPr>
              <w:t>Zůstatková cena prodaného majetku</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96.500,0</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+327.500,0</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424.000,0</w:t>
            </w:r>
            <w:r w:rsidR="0004564B" w:rsidRPr="00C4542A">
              <w:rPr>
                <w:sz w:val="20"/>
                <w:szCs w:val="20"/>
              </w:rPr>
              <w:t>0</w:t>
            </w:r>
          </w:p>
        </w:tc>
        <w:tc>
          <w:tcPr>
            <w:tcW w:w="1299"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421.097,0</w:t>
            </w:r>
            <w:r w:rsidR="0004564B" w:rsidRPr="00C4542A">
              <w:rPr>
                <w:sz w:val="20"/>
                <w:szCs w:val="20"/>
              </w:rPr>
              <w:t>0</w:t>
            </w:r>
          </w:p>
        </w:tc>
        <w:tc>
          <w:tcPr>
            <w:tcW w:w="105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BC7F05">
            <w:pPr>
              <w:jc w:val="center"/>
              <w:rPr>
                <w:sz w:val="20"/>
                <w:szCs w:val="20"/>
              </w:rPr>
            </w:pPr>
            <w:r w:rsidRPr="00C4542A">
              <w:rPr>
                <w:sz w:val="20"/>
                <w:szCs w:val="20"/>
              </w:rPr>
              <w:t>99,3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ind w:right="-108"/>
              <w:jc w:val="right"/>
              <w:rPr>
                <w:sz w:val="20"/>
                <w:szCs w:val="20"/>
              </w:rPr>
            </w:pPr>
            <w:r w:rsidRPr="00C4542A">
              <w:rPr>
                <w:sz w:val="20"/>
                <w:szCs w:val="20"/>
              </w:rPr>
              <w:t>355.724,</w:t>
            </w:r>
            <w:r w:rsidR="0004564B" w:rsidRPr="00C4542A">
              <w:rPr>
                <w:sz w:val="20"/>
                <w:szCs w:val="20"/>
              </w:rPr>
              <w:t>0</w:t>
            </w:r>
            <w:r w:rsidRPr="00C4542A">
              <w:rPr>
                <w:sz w:val="20"/>
                <w:szCs w:val="20"/>
              </w:rPr>
              <w:t>0</w:t>
            </w:r>
          </w:p>
        </w:tc>
      </w:tr>
      <w:tr w:rsidR="008F1D14" w:rsidRPr="00C4542A" w:rsidTr="00654FA7">
        <w:trPr>
          <w:trHeight w:val="328"/>
        </w:trPr>
        <w:tc>
          <w:tcPr>
            <w:tcW w:w="1843"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4564B">
            <w:pPr>
              <w:rPr>
                <w:sz w:val="20"/>
                <w:szCs w:val="20"/>
              </w:rPr>
            </w:pPr>
            <w:r w:rsidRPr="00C4542A">
              <w:rPr>
                <w:sz w:val="20"/>
                <w:szCs w:val="20"/>
              </w:rPr>
              <w:t>Odměna za správu</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12.716,4</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+ 5.529,0</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18.245,4</w:t>
            </w:r>
            <w:r w:rsidR="0004564B" w:rsidRPr="00C4542A">
              <w:rPr>
                <w:sz w:val="20"/>
                <w:szCs w:val="20"/>
              </w:rPr>
              <w:t>0</w:t>
            </w:r>
          </w:p>
        </w:tc>
        <w:tc>
          <w:tcPr>
            <w:tcW w:w="1299"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19.411,0</w:t>
            </w:r>
            <w:r w:rsidR="0004564B" w:rsidRPr="00C4542A">
              <w:rPr>
                <w:sz w:val="20"/>
                <w:szCs w:val="20"/>
              </w:rPr>
              <w:t>0</w:t>
            </w:r>
          </w:p>
        </w:tc>
        <w:tc>
          <w:tcPr>
            <w:tcW w:w="105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BC7F05">
            <w:pPr>
              <w:jc w:val="center"/>
              <w:rPr>
                <w:sz w:val="20"/>
                <w:szCs w:val="20"/>
              </w:rPr>
            </w:pPr>
            <w:r w:rsidRPr="00C4542A">
              <w:rPr>
                <w:sz w:val="20"/>
                <w:szCs w:val="20"/>
              </w:rPr>
              <w:t>106,4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ind w:right="-108"/>
              <w:jc w:val="right"/>
              <w:rPr>
                <w:sz w:val="20"/>
                <w:szCs w:val="20"/>
              </w:rPr>
            </w:pPr>
            <w:r w:rsidRPr="00C4542A">
              <w:rPr>
                <w:sz w:val="20"/>
                <w:szCs w:val="20"/>
              </w:rPr>
              <w:t>20.719,</w:t>
            </w:r>
            <w:r w:rsidR="0004564B" w:rsidRPr="00C4542A">
              <w:rPr>
                <w:sz w:val="20"/>
                <w:szCs w:val="20"/>
              </w:rPr>
              <w:t>0</w:t>
            </w:r>
            <w:r w:rsidRPr="00C4542A">
              <w:rPr>
                <w:sz w:val="20"/>
                <w:szCs w:val="20"/>
              </w:rPr>
              <w:t>0</w:t>
            </w:r>
          </w:p>
        </w:tc>
      </w:tr>
      <w:tr w:rsidR="008F1D14" w:rsidRPr="00C4542A" w:rsidTr="00654FA7">
        <w:tc>
          <w:tcPr>
            <w:tcW w:w="1843"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4564B">
            <w:pPr>
              <w:rPr>
                <w:sz w:val="20"/>
                <w:szCs w:val="20"/>
              </w:rPr>
            </w:pPr>
            <w:r w:rsidRPr="00C4542A">
              <w:rPr>
                <w:sz w:val="20"/>
                <w:szCs w:val="20"/>
              </w:rPr>
              <w:t>Daň z převodu nemovitostí</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17.000,0</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+9.000,0</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26.000,0</w:t>
            </w:r>
            <w:r w:rsidR="0004564B" w:rsidRPr="00C4542A">
              <w:rPr>
                <w:sz w:val="20"/>
                <w:szCs w:val="20"/>
              </w:rPr>
              <w:t>0</w:t>
            </w:r>
          </w:p>
        </w:tc>
        <w:tc>
          <w:tcPr>
            <w:tcW w:w="1299"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24.760,0</w:t>
            </w:r>
            <w:r w:rsidR="0004564B" w:rsidRPr="00C4542A">
              <w:rPr>
                <w:sz w:val="20"/>
                <w:szCs w:val="20"/>
              </w:rPr>
              <w:t>0</w:t>
            </w:r>
          </w:p>
        </w:tc>
        <w:tc>
          <w:tcPr>
            <w:tcW w:w="105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BC7F05">
            <w:pPr>
              <w:jc w:val="center"/>
              <w:rPr>
                <w:sz w:val="20"/>
                <w:szCs w:val="20"/>
              </w:rPr>
            </w:pPr>
            <w:r w:rsidRPr="00C4542A">
              <w:rPr>
                <w:sz w:val="20"/>
                <w:szCs w:val="20"/>
              </w:rPr>
              <w:t>95,2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ind w:right="-108"/>
              <w:jc w:val="right"/>
              <w:rPr>
                <w:sz w:val="20"/>
                <w:szCs w:val="20"/>
              </w:rPr>
            </w:pPr>
            <w:r w:rsidRPr="00C4542A">
              <w:rPr>
                <w:sz w:val="20"/>
                <w:szCs w:val="20"/>
              </w:rPr>
              <w:t>8.737,</w:t>
            </w:r>
            <w:r w:rsidR="0004564B" w:rsidRPr="00C4542A">
              <w:rPr>
                <w:sz w:val="20"/>
                <w:szCs w:val="20"/>
              </w:rPr>
              <w:t>0</w:t>
            </w:r>
            <w:r w:rsidRPr="00C4542A">
              <w:rPr>
                <w:sz w:val="20"/>
                <w:szCs w:val="20"/>
              </w:rPr>
              <w:t>0</w:t>
            </w:r>
          </w:p>
        </w:tc>
      </w:tr>
      <w:tr w:rsidR="008F1D14" w:rsidRPr="00C4542A" w:rsidTr="00654FA7">
        <w:tc>
          <w:tcPr>
            <w:tcW w:w="1843"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4564B">
            <w:pPr>
              <w:spacing w:line="360" w:lineRule="auto"/>
              <w:rPr>
                <w:sz w:val="20"/>
                <w:szCs w:val="20"/>
              </w:rPr>
            </w:pPr>
            <w:r w:rsidRPr="00C4542A">
              <w:rPr>
                <w:sz w:val="20"/>
                <w:szCs w:val="20"/>
              </w:rPr>
              <w:t>Ostatní</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119.536,5</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sz w:val="20"/>
                <w:szCs w:val="20"/>
              </w:rPr>
            </w:pPr>
            <w:r w:rsidRPr="00C4542A">
              <w:rPr>
                <w:sz w:val="20"/>
                <w:szCs w:val="20"/>
              </w:rPr>
              <w:t>+ 177.224,0</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sz w:val="20"/>
                <w:szCs w:val="20"/>
              </w:rPr>
            </w:pPr>
            <w:r w:rsidRPr="00C4542A">
              <w:rPr>
                <w:sz w:val="20"/>
                <w:szCs w:val="20"/>
              </w:rPr>
              <w:t>296.760,0</w:t>
            </w:r>
            <w:r w:rsidR="0004564B" w:rsidRPr="00C4542A">
              <w:rPr>
                <w:sz w:val="20"/>
                <w:szCs w:val="20"/>
              </w:rPr>
              <w:t>0</w:t>
            </w:r>
          </w:p>
        </w:tc>
        <w:tc>
          <w:tcPr>
            <w:tcW w:w="1299"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sz w:val="20"/>
                <w:szCs w:val="20"/>
              </w:rPr>
            </w:pPr>
            <w:r w:rsidRPr="00C4542A">
              <w:rPr>
                <w:sz w:val="20"/>
                <w:szCs w:val="20"/>
              </w:rPr>
              <w:t>262.806,0</w:t>
            </w:r>
            <w:r w:rsidR="0004564B" w:rsidRPr="00C4542A">
              <w:rPr>
                <w:sz w:val="20"/>
                <w:szCs w:val="20"/>
              </w:rPr>
              <w:t>0</w:t>
            </w:r>
          </w:p>
        </w:tc>
        <w:tc>
          <w:tcPr>
            <w:tcW w:w="105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BC7F05">
            <w:pPr>
              <w:jc w:val="center"/>
              <w:rPr>
                <w:sz w:val="20"/>
                <w:szCs w:val="20"/>
              </w:rPr>
            </w:pPr>
            <w:r w:rsidRPr="00C4542A">
              <w:rPr>
                <w:sz w:val="20"/>
                <w:szCs w:val="20"/>
              </w:rPr>
              <w:t>88,6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ind w:right="-108"/>
              <w:jc w:val="right"/>
              <w:rPr>
                <w:sz w:val="20"/>
                <w:szCs w:val="20"/>
              </w:rPr>
            </w:pPr>
            <w:r w:rsidRPr="00C4542A">
              <w:rPr>
                <w:sz w:val="20"/>
                <w:szCs w:val="20"/>
              </w:rPr>
              <w:t>182.315,</w:t>
            </w:r>
            <w:r w:rsidR="0004564B" w:rsidRPr="00C4542A">
              <w:rPr>
                <w:sz w:val="20"/>
                <w:szCs w:val="20"/>
              </w:rPr>
              <w:t>0</w:t>
            </w:r>
            <w:r w:rsidRPr="00C4542A">
              <w:rPr>
                <w:sz w:val="20"/>
                <w:szCs w:val="20"/>
              </w:rPr>
              <w:t>0</w:t>
            </w:r>
          </w:p>
        </w:tc>
      </w:tr>
      <w:tr w:rsidR="008F1D14" w:rsidRPr="00C4542A" w:rsidTr="00654FA7">
        <w:trPr>
          <w:trHeight w:val="528"/>
        </w:trPr>
        <w:tc>
          <w:tcPr>
            <w:tcW w:w="1843"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4564B">
            <w:pPr>
              <w:spacing w:line="360" w:lineRule="auto"/>
              <w:rPr>
                <w:b/>
                <w:sz w:val="20"/>
                <w:szCs w:val="20"/>
              </w:rPr>
            </w:pPr>
            <w:r w:rsidRPr="00C4542A">
              <w:rPr>
                <w:b/>
                <w:sz w:val="20"/>
                <w:szCs w:val="20"/>
              </w:rPr>
              <w:t>Celkem náklady</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b/>
                <w:sz w:val="20"/>
                <w:szCs w:val="20"/>
              </w:rPr>
            </w:pPr>
            <w:r w:rsidRPr="00C4542A">
              <w:rPr>
                <w:b/>
                <w:sz w:val="20"/>
                <w:szCs w:val="20"/>
              </w:rPr>
              <w:t>435.199,9</w:t>
            </w:r>
            <w:r w:rsidR="0004564B" w:rsidRPr="00C4542A">
              <w:rPr>
                <w:b/>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b/>
                <w:sz w:val="20"/>
                <w:szCs w:val="20"/>
              </w:rPr>
            </w:pPr>
            <w:r w:rsidRPr="00C4542A">
              <w:rPr>
                <w:b/>
                <w:sz w:val="20"/>
                <w:szCs w:val="20"/>
              </w:rPr>
              <w:t>502.733,8</w:t>
            </w:r>
            <w:r w:rsidR="0004564B" w:rsidRPr="00C4542A">
              <w:rPr>
                <w:b/>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b/>
                <w:sz w:val="20"/>
                <w:szCs w:val="20"/>
              </w:rPr>
            </w:pPr>
            <w:r w:rsidRPr="00C4542A">
              <w:rPr>
                <w:b/>
                <w:sz w:val="20"/>
                <w:szCs w:val="20"/>
              </w:rPr>
              <w:t>937.933,7</w:t>
            </w:r>
            <w:r w:rsidR="0004564B" w:rsidRPr="00C4542A">
              <w:rPr>
                <w:b/>
                <w:sz w:val="20"/>
                <w:szCs w:val="20"/>
              </w:rPr>
              <w:t>0</w:t>
            </w:r>
          </w:p>
        </w:tc>
        <w:tc>
          <w:tcPr>
            <w:tcW w:w="1299"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b/>
                <w:sz w:val="20"/>
                <w:szCs w:val="20"/>
              </w:rPr>
            </w:pPr>
            <w:r w:rsidRPr="00C4542A">
              <w:rPr>
                <w:b/>
                <w:sz w:val="20"/>
                <w:szCs w:val="20"/>
              </w:rPr>
              <w:t>797.283,0</w:t>
            </w:r>
            <w:r w:rsidR="0004564B" w:rsidRPr="00C4542A">
              <w:rPr>
                <w:b/>
                <w:sz w:val="20"/>
                <w:szCs w:val="20"/>
              </w:rPr>
              <w:t>0</w:t>
            </w:r>
          </w:p>
        </w:tc>
        <w:tc>
          <w:tcPr>
            <w:tcW w:w="105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BC7F05">
            <w:pPr>
              <w:jc w:val="center"/>
              <w:rPr>
                <w:b/>
                <w:sz w:val="20"/>
                <w:szCs w:val="20"/>
              </w:rPr>
            </w:pPr>
            <w:r w:rsidRPr="00C4542A">
              <w:rPr>
                <w:b/>
                <w:sz w:val="20"/>
                <w:szCs w:val="20"/>
              </w:rPr>
              <w:t>85</w:t>
            </w:r>
            <w:r w:rsidR="0004564B" w:rsidRPr="00C4542A">
              <w:rPr>
                <w:b/>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ind w:right="-108"/>
              <w:jc w:val="right"/>
              <w:rPr>
                <w:b/>
                <w:sz w:val="20"/>
                <w:szCs w:val="20"/>
              </w:rPr>
            </w:pPr>
            <w:r w:rsidRPr="00C4542A">
              <w:rPr>
                <w:b/>
                <w:sz w:val="20"/>
                <w:szCs w:val="20"/>
              </w:rPr>
              <w:t>668.243,</w:t>
            </w:r>
            <w:r w:rsidR="0004564B" w:rsidRPr="00C4542A">
              <w:rPr>
                <w:b/>
                <w:sz w:val="20"/>
                <w:szCs w:val="20"/>
              </w:rPr>
              <w:t>0</w:t>
            </w:r>
            <w:r w:rsidRPr="00C4542A">
              <w:rPr>
                <w:b/>
                <w:sz w:val="20"/>
                <w:szCs w:val="20"/>
              </w:rPr>
              <w:t>0</w:t>
            </w:r>
          </w:p>
        </w:tc>
      </w:tr>
      <w:tr w:rsidR="008F1D14" w:rsidRPr="00C4542A" w:rsidTr="00654FA7">
        <w:tc>
          <w:tcPr>
            <w:tcW w:w="1843"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4564B">
            <w:pPr>
              <w:spacing w:line="360" w:lineRule="auto"/>
              <w:rPr>
                <w:sz w:val="20"/>
                <w:szCs w:val="20"/>
              </w:rPr>
            </w:pPr>
            <w:r w:rsidRPr="00C4542A">
              <w:rPr>
                <w:sz w:val="20"/>
                <w:szCs w:val="20"/>
              </w:rPr>
              <w:t>Nájemné</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190.081,0</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sz w:val="20"/>
                <w:szCs w:val="20"/>
              </w:rPr>
            </w:pPr>
            <w:r w:rsidRPr="00C4542A">
              <w:rPr>
                <w:sz w:val="20"/>
                <w:szCs w:val="20"/>
              </w:rPr>
              <w:t>+ 7.628,2</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sz w:val="20"/>
                <w:szCs w:val="20"/>
              </w:rPr>
            </w:pPr>
            <w:r w:rsidRPr="00C4542A">
              <w:rPr>
                <w:sz w:val="20"/>
                <w:szCs w:val="20"/>
              </w:rPr>
              <w:t>197.709,2</w:t>
            </w:r>
            <w:r w:rsidR="0004564B" w:rsidRPr="00C4542A">
              <w:rPr>
                <w:sz w:val="20"/>
                <w:szCs w:val="20"/>
              </w:rPr>
              <w:t>0</w:t>
            </w:r>
          </w:p>
        </w:tc>
        <w:tc>
          <w:tcPr>
            <w:tcW w:w="1299"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sz w:val="20"/>
                <w:szCs w:val="20"/>
              </w:rPr>
            </w:pPr>
            <w:r w:rsidRPr="00C4542A">
              <w:rPr>
                <w:sz w:val="20"/>
                <w:szCs w:val="20"/>
              </w:rPr>
              <w:t>206.966,0</w:t>
            </w:r>
            <w:r w:rsidR="0004564B" w:rsidRPr="00C4542A">
              <w:rPr>
                <w:sz w:val="20"/>
                <w:szCs w:val="20"/>
              </w:rPr>
              <w:t>0</w:t>
            </w:r>
          </w:p>
        </w:tc>
        <w:tc>
          <w:tcPr>
            <w:tcW w:w="1054" w:type="dxa"/>
            <w:tcBorders>
              <w:top w:val="single" w:sz="4" w:space="0" w:color="auto"/>
              <w:left w:val="single" w:sz="4" w:space="0" w:color="auto"/>
              <w:bottom w:val="single" w:sz="4" w:space="0" w:color="auto"/>
              <w:right w:val="single" w:sz="4" w:space="0" w:color="auto"/>
            </w:tcBorders>
            <w:vAlign w:val="center"/>
          </w:tcPr>
          <w:p w:rsidR="008F1D14" w:rsidRPr="00C4542A" w:rsidRDefault="008F1D14" w:rsidP="00BC7F05">
            <w:pPr>
              <w:jc w:val="center"/>
              <w:rPr>
                <w:sz w:val="20"/>
                <w:szCs w:val="20"/>
              </w:rPr>
            </w:pPr>
            <w:r w:rsidRPr="00C4542A">
              <w:rPr>
                <w:sz w:val="20"/>
                <w:szCs w:val="20"/>
              </w:rPr>
              <w:t>104,7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ind w:right="-108"/>
              <w:jc w:val="right"/>
              <w:rPr>
                <w:sz w:val="20"/>
                <w:szCs w:val="20"/>
              </w:rPr>
            </w:pPr>
            <w:r w:rsidRPr="00C4542A">
              <w:rPr>
                <w:sz w:val="20"/>
                <w:szCs w:val="20"/>
              </w:rPr>
              <w:t>245.268,</w:t>
            </w:r>
            <w:r w:rsidR="0004564B" w:rsidRPr="00C4542A">
              <w:rPr>
                <w:sz w:val="20"/>
                <w:szCs w:val="20"/>
              </w:rPr>
              <w:t>0</w:t>
            </w:r>
            <w:r w:rsidRPr="00C4542A">
              <w:rPr>
                <w:sz w:val="20"/>
                <w:szCs w:val="20"/>
              </w:rPr>
              <w:t>0</w:t>
            </w:r>
          </w:p>
        </w:tc>
      </w:tr>
      <w:tr w:rsidR="008F1D14" w:rsidRPr="00C4542A" w:rsidTr="00654FA7">
        <w:tc>
          <w:tcPr>
            <w:tcW w:w="1843"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4564B">
            <w:pPr>
              <w:spacing w:line="360" w:lineRule="auto"/>
              <w:rPr>
                <w:sz w:val="20"/>
                <w:szCs w:val="20"/>
              </w:rPr>
            </w:pPr>
            <w:r w:rsidRPr="00C4542A">
              <w:rPr>
                <w:sz w:val="20"/>
                <w:szCs w:val="20"/>
              </w:rPr>
              <w:t>Prodej majetku</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325.000,0</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sz w:val="20"/>
                <w:szCs w:val="20"/>
              </w:rPr>
            </w:pPr>
            <w:r w:rsidRPr="00C4542A">
              <w:rPr>
                <w:sz w:val="20"/>
                <w:szCs w:val="20"/>
              </w:rPr>
              <w:t>+ 139.875,0</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sz w:val="20"/>
                <w:szCs w:val="20"/>
              </w:rPr>
            </w:pPr>
            <w:r w:rsidRPr="00C4542A">
              <w:rPr>
                <w:sz w:val="20"/>
                <w:szCs w:val="20"/>
              </w:rPr>
              <w:t>464.875,0</w:t>
            </w:r>
            <w:r w:rsidR="0004564B" w:rsidRPr="00C4542A">
              <w:rPr>
                <w:sz w:val="20"/>
                <w:szCs w:val="20"/>
              </w:rPr>
              <w:t>0</w:t>
            </w:r>
          </w:p>
        </w:tc>
        <w:tc>
          <w:tcPr>
            <w:tcW w:w="1299"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sz w:val="20"/>
                <w:szCs w:val="20"/>
              </w:rPr>
            </w:pPr>
            <w:r w:rsidRPr="00C4542A">
              <w:rPr>
                <w:sz w:val="20"/>
                <w:szCs w:val="20"/>
              </w:rPr>
              <w:t>542.785,0</w:t>
            </w:r>
            <w:r w:rsidR="0004564B" w:rsidRPr="00C4542A">
              <w:rPr>
                <w:sz w:val="20"/>
                <w:szCs w:val="20"/>
              </w:rPr>
              <w:t>0</w:t>
            </w:r>
          </w:p>
        </w:tc>
        <w:tc>
          <w:tcPr>
            <w:tcW w:w="105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BC7F05">
            <w:pPr>
              <w:jc w:val="center"/>
              <w:rPr>
                <w:sz w:val="20"/>
                <w:szCs w:val="20"/>
              </w:rPr>
            </w:pPr>
            <w:r w:rsidRPr="00C4542A">
              <w:rPr>
                <w:sz w:val="20"/>
                <w:szCs w:val="20"/>
              </w:rPr>
              <w:t>116,8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ind w:right="-108"/>
              <w:jc w:val="right"/>
              <w:rPr>
                <w:sz w:val="20"/>
                <w:szCs w:val="20"/>
              </w:rPr>
            </w:pPr>
            <w:r w:rsidRPr="00C4542A">
              <w:rPr>
                <w:sz w:val="20"/>
                <w:szCs w:val="20"/>
              </w:rPr>
              <w:t>396.445,</w:t>
            </w:r>
            <w:r w:rsidR="0004564B" w:rsidRPr="00C4542A">
              <w:rPr>
                <w:sz w:val="20"/>
                <w:szCs w:val="20"/>
              </w:rPr>
              <w:t>0</w:t>
            </w:r>
            <w:r w:rsidRPr="00C4542A">
              <w:rPr>
                <w:sz w:val="20"/>
                <w:szCs w:val="20"/>
              </w:rPr>
              <w:t>0</w:t>
            </w:r>
          </w:p>
        </w:tc>
      </w:tr>
      <w:tr w:rsidR="008F1D14" w:rsidRPr="00C4542A" w:rsidTr="00654FA7">
        <w:tc>
          <w:tcPr>
            <w:tcW w:w="1843"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4564B">
            <w:pPr>
              <w:spacing w:line="360" w:lineRule="auto"/>
              <w:rPr>
                <w:sz w:val="20"/>
                <w:szCs w:val="20"/>
              </w:rPr>
            </w:pPr>
            <w:r w:rsidRPr="00C4542A">
              <w:rPr>
                <w:sz w:val="20"/>
                <w:szCs w:val="20"/>
              </w:rPr>
              <w:t>Úroky</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3.629,9</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sz w:val="20"/>
                <w:szCs w:val="20"/>
              </w:rPr>
            </w:pPr>
            <w:r w:rsidRPr="00C4542A">
              <w:rPr>
                <w:sz w:val="20"/>
                <w:szCs w:val="20"/>
              </w:rPr>
              <w:t>- 600,0</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sz w:val="20"/>
                <w:szCs w:val="20"/>
              </w:rPr>
            </w:pPr>
            <w:r w:rsidRPr="00C4542A">
              <w:rPr>
                <w:sz w:val="20"/>
                <w:szCs w:val="20"/>
              </w:rPr>
              <w:t>3.029,9</w:t>
            </w:r>
            <w:r w:rsidR="0004564B" w:rsidRPr="00C4542A">
              <w:rPr>
                <w:sz w:val="20"/>
                <w:szCs w:val="20"/>
              </w:rPr>
              <w:t>0</w:t>
            </w:r>
          </w:p>
        </w:tc>
        <w:tc>
          <w:tcPr>
            <w:tcW w:w="1299"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sz w:val="20"/>
                <w:szCs w:val="20"/>
              </w:rPr>
            </w:pPr>
            <w:r w:rsidRPr="00C4542A">
              <w:rPr>
                <w:sz w:val="20"/>
                <w:szCs w:val="20"/>
              </w:rPr>
              <w:t>6.255,0</w:t>
            </w:r>
            <w:r w:rsidR="0004564B" w:rsidRPr="00C4542A">
              <w:rPr>
                <w:sz w:val="20"/>
                <w:szCs w:val="20"/>
              </w:rPr>
              <w:t>0</w:t>
            </w:r>
          </w:p>
        </w:tc>
        <w:tc>
          <w:tcPr>
            <w:tcW w:w="105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BC7F05">
            <w:pPr>
              <w:jc w:val="center"/>
              <w:rPr>
                <w:sz w:val="20"/>
                <w:szCs w:val="20"/>
              </w:rPr>
            </w:pPr>
            <w:r w:rsidRPr="00C4542A">
              <w:rPr>
                <w:sz w:val="20"/>
                <w:szCs w:val="20"/>
              </w:rPr>
              <w:t>206,4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ind w:right="-108"/>
              <w:jc w:val="right"/>
              <w:rPr>
                <w:sz w:val="20"/>
                <w:szCs w:val="20"/>
              </w:rPr>
            </w:pPr>
            <w:r w:rsidRPr="00C4542A">
              <w:rPr>
                <w:sz w:val="20"/>
                <w:szCs w:val="20"/>
              </w:rPr>
              <w:t>4.429,</w:t>
            </w:r>
            <w:r w:rsidR="0004564B" w:rsidRPr="00C4542A">
              <w:rPr>
                <w:sz w:val="20"/>
                <w:szCs w:val="20"/>
              </w:rPr>
              <w:t>0</w:t>
            </w:r>
            <w:r w:rsidRPr="00C4542A">
              <w:rPr>
                <w:sz w:val="20"/>
                <w:szCs w:val="20"/>
              </w:rPr>
              <w:t>0</w:t>
            </w:r>
          </w:p>
        </w:tc>
      </w:tr>
      <w:tr w:rsidR="008F1D14" w:rsidRPr="00C4542A" w:rsidTr="00654FA7">
        <w:tc>
          <w:tcPr>
            <w:tcW w:w="1843"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4564B">
            <w:pPr>
              <w:rPr>
                <w:sz w:val="20"/>
                <w:szCs w:val="20"/>
              </w:rPr>
            </w:pPr>
            <w:r w:rsidRPr="00C4542A">
              <w:rPr>
                <w:sz w:val="20"/>
                <w:szCs w:val="20"/>
              </w:rPr>
              <w:t>Výnosy z přecenění reálnou hodnotou</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57.000,0</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sz w:val="20"/>
                <w:szCs w:val="20"/>
              </w:rPr>
            </w:pPr>
            <w:r w:rsidRPr="00C4542A">
              <w:rPr>
                <w:sz w:val="20"/>
                <w:szCs w:val="20"/>
              </w:rPr>
              <w:t>+ 360.000,0</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sz w:val="20"/>
                <w:szCs w:val="20"/>
              </w:rPr>
            </w:pPr>
            <w:r w:rsidRPr="00C4542A">
              <w:rPr>
                <w:sz w:val="20"/>
                <w:szCs w:val="20"/>
              </w:rPr>
              <w:t>417.000,0</w:t>
            </w:r>
            <w:r w:rsidR="0004564B" w:rsidRPr="00C4542A">
              <w:rPr>
                <w:sz w:val="20"/>
                <w:szCs w:val="20"/>
              </w:rPr>
              <w:t>0</w:t>
            </w:r>
          </w:p>
        </w:tc>
        <w:tc>
          <w:tcPr>
            <w:tcW w:w="1299"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sz w:val="20"/>
                <w:szCs w:val="20"/>
              </w:rPr>
            </w:pPr>
            <w:r w:rsidRPr="00C4542A">
              <w:rPr>
                <w:sz w:val="20"/>
                <w:szCs w:val="20"/>
              </w:rPr>
              <w:t>436.562,0</w:t>
            </w:r>
            <w:r w:rsidR="0004564B" w:rsidRPr="00C4542A">
              <w:rPr>
                <w:sz w:val="20"/>
                <w:szCs w:val="20"/>
              </w:rPr>
              <w:t>0</w:t>
            </w:r>
          </w:p>
        </w:tc>
        <w:tc>
          <w:tcPr>
            <w:tcW w:w="105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BC7F05">
            <w:pPr>
              <w:jc w:val="center"/>
              <w:rPr>
                <w:sz w:val="20"/>
                <w:szCs w:val="20"/>
              </w:rPr>
            </w:pPr>
            <w:r w:rsidRPr="00C4542A">
              <w:rPr>
                <w:sz w:val="20"/>
                <w:szCs w:val="20"/>
              </w:rPr>
              <w:t>104,7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ind w:right="-108"/>
              <w:jc w:val="right"/>
              <w:rPr>
                <w:sz w:val="20"/>
                <w:szCs w:val="20"/>
              </w:rPr>
            </w:pPr>
            <w:r w:rsidRPr="00C4542A">
              <w:rPr>
                <w:sz w:val="20"/>
                <w:szCs w:val="20"/>
              </w:rPr>
              <w:t>347.472,</w:t>
            </w:r>
            <w:r w:rsidR="0004564B" w:rsidRPr="00C4542A">
              <w:rPr>
                <w:sz w:val="20"/>
                <w:szCs w:val="20"/>
              </w:rPr>
              <w:t>0</w:t>
            </w:r>
            <w:r w:rsidRPr="00C4542A">
              <w:rPr>
                <w:sz w:val="20"/>
                <w:szCs w:val="20"/>
              </w:rPr>
              <w:t>0</w:t>
            </w:r>
          </w:p>
        </w:tc>
      </w:tr>
      <w:tr w:rsidR="008F1D14" w:rsidRPr="00C4542A" w:rsidTr="00654FA7">
        <w:tc>
          <w:tcPr>
            <w:tcW w:w="1843"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4564B">
            <w:pPr>
              <w:spacing w:line="360" w:lineRule="auto"/>
              <w:rPr>
                <w:sz w:val="20"/>
                <w:szCs w:val="20"/>
              </w:rPr>
            </w:pPr>
            <w:r w:rsidRPr="00C4542A">
              <w:rPr>
                <w:sz w:val="20"/>
                <w:szCs w:val="20"/>
              </w:rPr>
              <w:t>Ostatní</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sz w:val="20"/>
                <w:szCs w:val="20"/>
              </w:rPr>
            </w:pPr>
            <w:r w:rsidRPr="00C4542A">
              <w:rPr>
                <w:sz w:val="20"/>
                <w:szCs w:val="20"/>
              </w:rPr>
              <w:t>9.086,8</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sz w:val="20"/>
                <w:szCs w:val="20"/>
              </w:rPr>
            </w:pPr>
            <w:r w:rsidRPr="00C4542A">
              <w:rPr>
                <w:sz w:val="20"/>
                <w:szCs w:val="20"/>
              </w:rPr>
              <w:t>+ 11.458,0</w:t>
            </w:r>
            <w:r w:rsidR="0004564B" w:rsidRPr="00C4542A">
              <w:rPr>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sz w:val="20"/>
                <w:szCs w:val="20"/>
              </w:rPr>
            </w:pPr>
            <w:r w:rsidRPr="00C4542A">
              <w:rPr>
                <w:sz w:val="20"/>
                <w:szCs w:val="20"/>
              </w:rPr>
              <w:t>20.544,8</w:t>
            </w:r>
            <w:r w:rsidR="0004564B" w:rsidRPr="00C4542A">
              <w:rPr>
                <w:sz w:val="20"/>
                <w:szCs w:val="20"/>
              </w:rPr>
              <w:t>0</w:t>
            </w:r>
          </w:p>
        </w:tc>
        <w:tc>
          <w:tcPr>
            <w:tcW w:w="1299"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sz w:val="20"/>
                <w:szCs w:val="20"/>
              </w:rPr>
            </w:pPr>
            <w:r w:rsidRPr="00C4542A">
              <w:rPr>
                <w:sz w:val="20"/>
                <w:szCs w:val="20"/>
              </w:rPr>
              <w:t>- 5.866,0</w:t>
            </w:r>
            <w:r w:rsidR="0004564B" w:rsidRPr="00C4542A">
              <w:rPr>
                <w:sz w:val="20"/>
                <w:szCs w:val="20"/>
              </w:rPr>
              <w:t>0</w:t>
            </w:r>
          </w:p>
        </w:tc>
        <w:tc>
          <w:tcPr>
            <w:tcW w:w="105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BC7F05">
            <w:pPr>
              <w:jc w:val="center"/>
              <w:rPr>
                <w:sz w:val="20"/>
                <w:szCs w:val="20"/>
              </w:rPr>
            </w:pPr>
            <w:r w:rsidRPr="00C4542A">
              <w:rPr>
                <w:sz w:val="20"/>
                <w:szCs w:val="20"/>
              </w:rPr>
              <w:t>416,1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ind w:right="-108"/>
              <w:jc w:val="right"/>
              <w:rPr>
                <w:sz w:val="20"/>
                <w:szCs w:val="20"/>
              </w:rPr>
            </w:pPr>
            <w:r w:rsidRPr="00C4542A">
              <w:rPr>
                <w:sz w:val="20"/>
                <w:szCs w:val="20"/>
              </w:rPr>
              <w:t>- 40.031,</w:t>
            </w:r>
            <w:r w:rsidR="0004564B" w:rsidRPr="00C4542A">
              <w:rPr>
                <w:sz w:val="20"/>
                <w:szCs w:val="20"/>
              </w:rPr>
              <w:t>0</w:t>
            </w:r>
            <w:r w:rsidRPr="00C4542A">
              <w:rPr>
                <w:sz w:val="20"/>
                <w:szCs w:val="20"/>
              </w:rPr>
              <w:t>0</w:t>
            </w:r>
          </w:p>
        </w:tc>
      </w:tr>
      <w:tr w:rsidR="008F1D14" w:rsidRPr="00C4542A" w:rsidTr="00654FA7">
        <w:trPr>
          <w:trHeight w:val="411"/>
        </w:trPr>
        <w:tc>
          <w:tcPr>
            <w:tcW w:w="1843"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4564B">
            <w:pPr>
              <w:spacing w:line="360" w:lineRule="auto"/>
              <w:rPr>
                <w:b/>
                <w:sz w:val="20"/>
                <w:szCs w:val="20"/>
              </w:rPr>
            </w:pPr>
            <w:r w:rsidRPr="00C4542A">
              <w:rPr>
                <w:b/>
                <w:sz w:val="20"/>
                <w:szCs w:val="20"/>
              </w:rPr>
              <w:t>Celkem výnosy</w:t>
            </w:r>
          </w:p>
        </w:tc>
        <w:tc>
          <w:tcPr>
            <w:tcW w:w="1142"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0F3DC2">
            <w:pPr>
              <w:jc w:val="right"/>
              <w:rPr>
                <w:b/>
                <w:sz w:val="20"/>
                <w:szCs w:val="20"/>
              </w:rPr>
            </w:pPr>
            <w:r w:rsidRPr="00C4542A">
              <w:rPr>
                <w:b/>
                <w:sz w:val="20"/>
                <w:szCs w:val="20"/>
              </w:rPr>
              <w:t>584.797,7</w:t>
            </w:r>
            <w:r w:rsidR="0004564B" w:rsidRPr="00C4542A">
              <w:rPr>
                <w:b/>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b/>
                <w:sz w:val="20"/>
                <w:szCs w:val="20"/>
              </w:rPr>
            </w:pPr>
            <w:r w:rsidRPr="00C4542A">
              <w:rPr>
                <w:b/>
                <w:sz w:val="20"/>
                <w:szCs w:val="20"/>
              </w:rPr>
              <w:t>518.361,2</w:t>
            </w:r>
            <w:r w:rsidR="0004564B" w:rsidRPr="00C4542A">
              <w:rPr>
                <w:b/>
                <w:sz w:val="20"/>
                <w:szCs w:val="20"/>
              </w:rPr>
              <w:t>0</w:t>
            </w:r>
          </w:p>
        </w:tc>
        <w:tc>
          <w:tcPr>
            <w:tcW w:w="1300"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b/>
                <w:sz w:val="20"/>
                <w:szCs w:val="20"/>
              </w:rPr>
            </w:pPr>
            <w:r w:rsidRPr="00C4542A">
              <w:rPr>
                <w:b/>
                <w:sz w:val="20"/>
                <w:szCs w:val="20"/>
              </w:rPr>
              <w:t>1.103.158,9</w:t>
            </w:r>
            <w:r w:rsidR="0004564B" w:rsidRPr="00C4542A">
              <w:rPr>
                <w:b/>
                <w:sz w:val="20"/>
                <w:szCs w:val="20"/>
              </w:rPr>
              <w:t>0</w:t>
            </w:r>
          </w:p>
        </w:tc>
        <w:tc>
          <w:tcPr>
            <w:tcW w:w="1299"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jc w:val="right"/>
              <w:rPr>
                <w:b/>
                <w:sz w:val="20"/>
                <w:szCs w:val="20"/>
              </w:rPr>
            </w:pPr>
            <w:r w:rsidRPr="00C4542A">
              <w:rPr>
                <w:b/>
                <w:sz w:val="20"/>
                <w:szCs w:val="20"/>
              </w:rPr>
              <w:t>1.186.702</w:t>
            </w:r>
            <w:r w:rsidR="0004564B" w:rsidRPr="00C4542A">
              <w:rPr>
                <w:b/>
                <w:sz w:val="20"/>
                <w:szCs w:val="20"/>
              </w:rPr>
              <w:t>,00</w:t>
            </w:r>
          </w:p>
        </w:tc>
        <w:tc>
          <w:tcPr>
            <w:tcW w:w="105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BC7F05">
            <w:pPr>
              <w:jc w:val="center"/>
              <w:rPr>
                <w:b/>
                <w:sz w:val="20"/>
                <w:szCs w:val="20"/>
              </w:rPr>
            </w:pPr>
            <w:r w:rsidRPr="00C4542A">
              <w:rPr>
                <w:b/>
                <w:sz w:val="20"/>
                <w:szCs w:val="20"/>
              </w:rPr>
              <w:t>107,6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F1D14" w:rsidRPr="00C4542A" w:rsidRDefault="008F1D14" w:rsidP="00F34142">
            <w:pPr>
              <w:ind w:right="-108"/>
              <w:jc w:val="right"/>
              <w:rPr>
                <w:b/>
                <w:sz w:val="20"/>
                <w:szCs w:val="20"/>
              </w:rPr>
            </w:pPr>
            <w:r w:rsidRPr="00C4542A">
              <w:rPr>
                <w:b/>
                <w:sz w:val="20"/>
                <w:szCs w:val="20"/>
              </w:rPr>
              <w:t>953.583,</w:t>
            </w:r>
            <w:r w:rsidR="0004564B" w:rsidRPr="00C4542A">
              <w:rPr>
                <w:b/>
                <w:sz w:val="20"/>
                <w:szCs w:val="20"/>
              </w:rPr>
              <w:t>0</w:t>
            </w:r>
            <w:r w:rsidRPr="00C4542A">
              <w:rPr>
                <w:b/>
                <w:sz w:val="20"/>
                <w:szCs w:val="20"/>
              </w:rPr>
              <w:t>0</w:t>
            </w:r>
          </w:p>
        </w:tc>
      </w:tr>
      <w:tr w:rsidR="008F1D14" w:rsidRPr="00C4542A" w:rsidTr="00654FA7">
        <w:trPr>
          <w:trHeight w:val="566"/>
        </w:trPr>
        <w:tc>
          <w:tcPr>
            <w:tcW w:w="1843"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8F1D14" w:rsidRPr="00C4542A" w:rsidRDefault="008F1D14" w:rsidP="0004564B">
            <w:pPr>
              <w:spacing w:line="360" w:lineRule="auto"/>
              <w:rPr>
                <w:b/>
                <w:sz w:val="20"/>
                <w:szCs w:val="20"/>
              </w:rPr>
            </w:pPr>
            <w:r w:rsidRPr="00C4542A">
              <w:rPr>
                <w:b/>
                <w:sz w:val="20"/>
                <w:szCs w:val="20"/>
              </w:rPr>
              <w:t>Zisk(+),Ztráta(-)</w:t>
            </w:r>
          </w:p>
        </w:tc>
        <w:tc>
          <w:tcPr>
            <w:tcW w:w="1142"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8F1D14" w:rsidRPr="00C4542A" w:rsidRDefault="008F1D14" w:rsidP="000F3DC2">
            <w:pPr>
              <w:jc w:val="right"/>
              <w:rPr>
                <w:b/>
                <w:sz w:val="20"/>
                <w:szCs w:val="20"/>
              </w:rPr>
            </w:pPr>
            <w:r w:rsidRPr="00C4542A">
              <w:rPr>
                <w:b/>
                <w:sz w:val="20"/>
                <w:szCs w:val="20"/>
              </w:rPr>
              <w:t>149.597,8</w:t>
            </w:r>
          </w:p>
        </w:tc>
        <w:tc>
          <w:tcPr>
            <w:tcW w:w="130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8F1D14" w:rsidRPr="00C4542A" w:rsidRDefault="008F1D14" w:rsidP="00F34142">
            <w:pPr>
              <w:jc w:val="right"/>
              <w:rPr>
                <w:b/>
                <w:sz w:val="20"/>
                <w:szCs w:val="20"/>
              </w:rPr>
            </w:pPr>
            <w:r w:rsidRPr="00C4542A">
              <w:rPr>
                <w:b/>
                <w:sz w:val="20"/>
                <w:szCs w:val="20"/>
              </w:rPr>
              <w:t>15.627,4</w:t>
            </w:r>
          </w:p>
        </w:tc>
        <w:tc>
          <w:tcPr>
            <w:tcW w:w="130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8F1D14" w:rsidRPr="00C4542A" w:rsidRDefault="008F1D14" w:rsidP="00F34142">
            <w:pPr>
              <w:jc w:val="right"/>
              <w:rPr>
                <w:b/>
                <w:sz w:val="20"/>
                <w:szCs w:val="20"/>
              </w:rPr>
            </w:pPr>
            <w:r w:rsidRPr="00C4542A">
              <w:rPr>
                <w:b/>
                <w:sz w:val="20"/>
                <w:szCs w:val="20"/>
              </w:rPr>
              <w:t>165.225,2</w:t>
            </w:r>
          </w:p>
        </w:tc>
        <w:tc>
          <w:tcPr>
            <w:tcW w:w="129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8F1D14" w:rsidRPr="00C4542A" w:rsidRDefault="008F1D14" w:rsidP="00F34142">
            <w:pPr>
              <w:jc w:val="right"/>
              <w:rPr>
                <w:b/>
                <w:sz w:val="20"/>
                <w:szCs w:val="20"/>
              </w:rPr>
            </w:pPr>
            <w:r w:rsidRPr="00C4542A">
              <w:rPr>
                <w:b/>
                <w:sz w:val="20"/>
                <w:szCs w:val="20"/>
              </w:rPr>
              <w:t>389.419,0</w:t>
            </w:r>
          </w:p>
        </w:tc>
        <w:tc>
          <w:tcPr>
            <w:tcW w:w="105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8F1D14" w:rsidRPr="00C4542A" w:rsidRDefault="008F1D14" w:rsidP="00BC7F05">
            <w:pPr>
              <w:jc w:val="center"/>
              <w:rPr>
                <w:b/>
                <w:sz w:val="20"/>
                <w:szCs w:val="20"/>
              </w:rPr>
            </w:pPr>
            <w:r w:rsidRPr="00C4542A">
              <w:rPr>
                <w:b/>
                <w:sz w:val="20"/>
                <w:szCs w:val="20"/>
              </w:rPr>
              <w:t>235,7</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8F1D14" w:rsidRPr="00C4542A" w:rsidRDefault="008F1D14" w:rsidP="00F34142">
            <w:pPr>
              <w:ind w:right="-108"/>
              <w:jc w:val="right"/>
              <w:rPr>
                <w:b/>
                <w:sz w:val="20"/>
                <w:szCs w:val="20"/>
              </w:rPr>
            </w:pPr>
            <w:r w:rsidRPr="00C4542A">
              <w:rPr>
                <w:b/>
                <w:sz w:val="20"/>
                <w:szCs w:val="20"/>
              </w:rPr>
              <w:t>285.340,0</w:t>
            </w:r>
          </w:p>
        </w:tc>
      </w:tr>
      <w:bookmarkEnd w:id="32"/>
    </w:tbl>
    <w:p w:rsidR="00BC7F05" w:rsidRDefault="00BC7F05" w:rsidP="00BC7F05">
      <w:pPr>
        <w:rPr>
          <w:rStyle w:val="Siln"/>
        </w:rPr>
      </w:pPr>
    </w:p>
    <w:p w:rsidR="00A04AF5" w:rsidRPr="004F02C9" w:rsidRDefault="00A04AF5" w:rsidP="00AA76C9">
      <w:pPr>
        <w:pStyle w:val="Nadpis2"/>
        <w:rPr>
          <w:rStyle w:val="Siln"/>
          <w:sz w:val="24"/>
        </w:rPr>
      </w:pPr>
      <w:bookmarkStart w:id="36" w:name="_Toc385875219"/>
      <w:r w:rsidRPr="004F02C9">
        <w:rPr>
          <w:rStyle w:val="Siln"/>
          <w:sz w:val="24"/>
        </w:rPr>
        <w:t>3. Hospodaření s majetkem</w:t>
      </w:r>
      <w:bookmarkEnd w:id="36"/>
    </w:p>
    <w:p w:rsidR="00EC27A5" w:rsidRPr="00F20418" w:rsidRDefault="00A04AF5" w:rsidP="00A04AF5">
      <w:pPr>
        <w:jc w:val="both"/>
        <w:rPr>
          <w:sz w:val="22"/>
          <w:szCs w:val="22"/>
        </w:rPr>
      </w:pPr>
      <w:r w:rsidRPr="00F20418">
        <w:rPr>
          <w:sz w:val="22"/>
          <w:szCs w:val="22"/>
        </w:rPr>
        <w:t xml:space="preserve">Městská část hospodaří s majetkem </w:t>
      </w:r>
      <w:r w:rsidR="009E588F" w:rsidRPr="00F20418">
        <w:rPr>
          <w:sz w:val="22"/>
          <w:szCs w:val="22"/>
        </w:rPr>
        <w:t>svěřeným hlavním městem Prahou.</w:t>
      </w:r>
      <w:r w:rsidR="00C53F71">
        <w:rPr>
          <w:sz w:val="22"/>
          <w:szCs w:val="22"/>
        </w:rPr>
        <w:t xml:space="preserve"> Přehled hlavních druhů maje</w:t>
      </w:r>
      <w:r w:rsidR="00C53F71">
        <w:rPr>
          <w:sz w:val="22"/>
          <w:szCs w:val="22"/>
        </w:rPr>
        <w:t>t</w:t>
      </w:r>
      <w:r w:rsidR="00C53F71">
        <w:rPr>
          <w:sz w:val="22"/>
          <w:szCs w:val="22"/>
        </w:rPr>
        <w:t>ku a jejich porovnání s rokem 201</w:t>
      </w:r>
      <w:r w:rsidR="00EC27A5">
        <w:rPr>
          <w:sz w:val="22"/>
          <w:szCs w:val="22"/>
        </w:rPr>
        <w:t>2</w:t>
      </w:r>
      <w:r w:rsidR="00C53F71">
        <w:rPr>
          <w:sz w:val="22"/>
          <w:szCs w:val="22"/>
        </w:rPr>
        <w:t xml:space="preserve"> je v tabulce.</w:t>
      </w:r>
    </w:p>
    <w:p w:rsidR="00A04AF5" w:rsidRPr="0004564B" w:rsidRDefault="00A04AF5" w:rsidP="00AA76C9">
      <w:pPr>
        <w:ind w:left="8496"/>
        <w:jc w:val="center"/>
        <w:rPr>
          <w:sz w:val="18"/>
          <w:szCs w:val="18"/>
        </w:rPr>
      </w:pPr>
      <w:r w:rsidRPr="0004564B">
        <w:rPr>
          <w:sz w:val="18"/>
          <w:szCs w:val="18"/>
        </w:rPr>
        <w:t>v</w:t>
      </w:r>
      <w:r w:rsidR="005E1108" w:rsidRPr="0004564B">
        <w:rPr>
          <w:sz w:val="18"/>
          <w:szCs w:val="18"/>
        </w:rPr>
        <w:t> Kč</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552"/>
        <w:gridCol w:w="2551"/>
      </w:tblGrid>
      <w:tr w:rsidR="00905CCF" w:rsidRPr="00C4542A" w:rsidTr="00DE5346">
        <w:trPr>
          <w:trHeight w:val="500"/>
        </w:trPr>
        <w:tc>
          <w:tcPr>
            <w:tcW w:w="3969" w:type="dxa"/>
            <w:shd w:val="clear" w:color="auto" w:fill="EEECE1"/>
            <w:vAlign w:val="center"/>
          </w:tcPr>
          <w:p w:rsidR="00905CCF" w:rsidRPr="00C4542A" w:rsidRDefault="00905CCF" w:rsidP="00CE1C84">
            <w:pPr>
              <w:jc w:val="center"/>
              <w:rPr>
                <w:b/>
                <w:sz w:val="20"/>
                <w:szCs w:val="20"/>
              </w:rPr>
            </w:pPr>
            <w:r w:rsidRPr="00C4542A">
              <w:rPr>
                <w:b/>
                <w:sz w:val="20"/>
                <w:szCs w:val="20"/>
              </w:rPr>
              <w:t>Druh majetku</w:t>
            </w:r>
          </w:p>
        </w:tc>
        <w:tc>
          <w:tcPr>
            <w:tcW w:w="2552" w:type="dxa"/>
            <w:shd w:val="clear" w:color="auto" w:fill="EEECE1"/>
            <w:vAlign w:val="center"/>
          </w:tcPr>
          <w:p w:rsidR="00905CCF" w:rsidRPr="00C4542A" w:rsidRDefault="00905CCF" w:rsidP="00EC27A5">
            <w:pPr>
              <w:jc w:val="center"/>
              <w:rPr>
                <w:b/>
                <w:sz w:val="20"/>
                <w:szCs w:val="20"/>
              </w:rPr>
            </w:pPr>
            <w:r w:rsidRPr="00C4542A">
              <w:rPr>
                <w:b/>
                <w:sz w:val="20"/>
                <w:szCs w:val="20"/>
              </w:rPr>
              <w:t>Stav k 31.12.2013</w:t>
            </w:r>
          </w:p>
        </w:tc>
        <w:tc>
          <w:tcPr>
            <w:tcW w:w="2551" w:type="dxa"/>
            <w:shd w:val="clear" w:color="auto" w:fill="EEECE1"/>
            <w:vAlign w:val="center"/>
          </w:tcPr>
          <w:p w:rsidR="00905CCF" w:rsidRPr="00C4542A" w:rsidRDefault="00905CCF" w:rsidP="00603708">
            <w:pPr>
              <w:jc w:val="center"/>
              <w:rPr>
                <w:b/>
                <w:sz w:val="20"/>
                <w:szCs w:val="20"/>
              </w:rPr>
            </w:pPr>
            <w:r w:rsidRPr="00C4542A">
              <w:rPr>
                <w:b/>
                <w:sz w:val="20"/>
                <w:szCs w:val="20"/>
              </w:rPr>
              <w:t>Stav k 31.12.2012</w:t>
            </w:r>
          </w:p>
        </w:tc>
      </w:tr>
      <w:tr w:rsidR="00905CCF" w:rsidRPr="00C4542A" w:rsidTr="00905CCF">
        <w:trPr>
          <w:trHeight w:val="482"/>
        </w:trPr>
        <w:tc>
          <w:tcPr>
            <w:tcW w:w="3969" w:type="dxa"/>
            <w:vAlign w:val="center"/>
          </w:tcPr>
          <w:p w:rsidR="00905CCF" w:rsidRPr="00C4542A" w:rsidRDefault="00905CCF" w:rsidP="00CE1C84">
            <w:pPr>
              <w:rPr>
                <w:sz w:val="20"/>
                <w:szCs w:val="20"/>
              </w:rPr>
            </w:pPr>
            <w:r w:rsidRPr="00C4542A">
              <w:rPr>
                <w:sz w:val="20"/>
                <w:szCs w:val="20"/>
              </w:rPr>
              <w:t>Dlouhodobý nehmotný majetek</w:t>
            </w:r>
          </w:p>
        </w:tc>
        <w:tc>
          <w:tcPr>
            <w:tcW w:w="2552" w:type="dxa"/>
            <w:vAlign w:val="center"/>
          </w:tcPr>
          <w:p w:rsidR="00905CCF" w:rsidRPr="00C4542A" w:rsidRDefault="00905CCF" w:rsidP="00CE1C84">
            <w:pPr>
              <w:jc w:val="right"/>
              <w:rPr>
                <w:sz w:val="20"/>
                <w:szCs w:val="20"/>
              </w:rPr>
            </w:pPr>
            <w:r w:rsidRPr="00C4542A">
              <w:rPr>
                <w:sz w:val="20"/>
                <w:szCs w:val="20"/>
              </w:rPr>
              <w:t>33.531.277,56</w:t>
            </w:r>
          </w:p>
        </w:tc>
        <w:tc>
          <w:tcPr>
            <w:tcW w:w="2551" w:type="dxa"/>
            <w:vAlign w:val="center"/>
          </w:tcPr>
          <w:p w:rsidR="00905CCF" w:rsidRPr="00C4542A" w:rsidRDefault="00905CCF" w:rsidP="00603708">
            <w:pPr>
              <w:jc w:val="right"/>
              <w:rPr>
                <w:sz w:val="20"/>
                <w:szCs w:val="20"/>
              </w:rPr>
            </w:pPr>
            <w:r w:rsidRPr="00C4542A">
              <w:rPr>
                <w:sz w:val="20"/>
                <w:szCs w:val="20"/>
              </w:rPr>
              <w:t>31.383.399,26</w:t>
            </w:r>
          </w:p>
        </w:tc>
      </w:tr>
      <w:tr w:rsidR="00905CCF" w:rsidRPr="00C4542A" w:rsidTr="00905CCF">
        <w:tc>
          <w:tcPr>
            <w:tcW w:w="3969" w:type="dxa"/>
            <w:tcBorders>
              <w:bottom w:val="nil"/>
            </w:tcBorders>
          </w:tcPr>
          <w:p w:rsidR="00905CCF" w:rsidRPr="00C4542A" w:rsidRDefault="00905CCF" w:rsidP="00CE1C84">
            <w:pPr>
              <w:jc w:val="both"/>
              <w:rPr>
                <w:sz w:val="20"/>
                <w:szCs w:val="20"/>
              </w:rPr>
            </w:pPr>
            <w:r w:rsidRPr="00C4542A">
              <w:rPr>
                <w:sz w:val="20"/>
                <w:szCs w:val="20"/>
              </w:rPr>
              <w:t xml:space="preserve">Dlouhodobý hmotný majetek </w:t>
            </w:r>
          </w:p>
        </w:tc>
        <w:tc>
          <w:tcPr>
            <w:tcW w:w="2552" w:type="dxa"/>
            <w:vMerge w:val="restart"/>
            <w:vAlign w:val="center"/>
          </w:tcPr>
          <w:p w:rsidR="00905CCF" w:rsidRPr="00C4542A" w:rsidRDefault="00905CCF" w:rsidP="00CE1C84">
            <w:pPr>
              <w:jc w:val="right"/>
              <w:rPr>
                <w:sz w:val="20"/>
                <w:szCs w:val="20"/>
              </w:rPr>
            </w:pPr>
            <w:r w:rsidRPr="00C4542A">
              <w:rPr>
                <w:sz w:val="20"/>
                <w:szCs w:val="20"/>
              </w:rPr>
              <w:t>5.921.466.976,65</w:t>
            </w:r>
          </w:p>
        </w:tc>
        <w:tc>
          <w:tcPr>
            <w:tcW w:w="2551" w:type="dxa"/>
            <w:vMerge w:val="restart"/>
            <w:vAlign w:val="center"/>
          </w:tcPr>
          <w:p w:rsidR="00905CCF" w:rsidRPr="00C4542A" w:rsidRDefault="00905CCF" w:rsidP="00603708">
            <w:pPr>
              <w:jc w:val="right"/>
              <w:rPr>
                <w:sz w:val="20"/>
                <w:szCs w:val="20"/>
              </w:rPr>
            </w:pPr>
            <w:r w:rsidRPr="00C4542A">
              <w:rPr>
                <w:sz w:val="20"/>
                <w:szCs w:val="20"/>
              </w:rPr>
              <w:t>6.011.198.306,40</w:t>
            </w:r>
          </w:p>
        </w:tc>
      </w:tr>
      <w:tr w:rsidR="00905CCF" w:rsidRPr="00C4542A" w:rsidTr="00661CDF">
        <w:trPr>
          <w:trHeight w:val="330"/>
        </w:trPr>
        <w:tc>
          <w:tcPr>
            <w:tcW w:w="3969" w:type="dxa"/>
            <w:tcBorders>
              <w:top w:val="nil"/>
            </w:tcBorders>
          </w:tcPr>
          <w:p w:rsidR="00905CCF" w:rsidRPr="00C4542A" w:rsidRDefault="00905CCF" w:rsidP="00CE1C84">
            <w:pPr>
              <w:jc w:val="both"/>
              <w:rPr>
                <w:sz w:val="20"/>
                <w:szCs w:val="20"/>
              </w:rPr>
            </w:pPr>
            <w:r w:rsidRPr="00C4542A">
              <w:rPr>
                <w:sz w:val="20"/>
                <w:szCs w:val="20"/>
              </w:rPr>
              <w:t>Z toho:</w:t>
            </w:r>
          </w:p>
        </w:tc>
        <w:tc>
          <w:tcPr>
            <w:tcW w:w="2552" w:type="dxa"/>
            <w:vMerge/>
          </w:tcPr>
          <w:p w:rsidR="00905CCF" w:rsidRPr="00C4542A" w:rsidRDefault="00905CCF" w:rsidP="00CE1C84">
            <w:pPr>
              <w:jc w:val="right"/>
              <w:rPr>
                <w:sz w:val="20"/>
                <w:szCs w:val="20"/>
              </w:rPr>
            </w:pPr>
          </w:p>
        </w:tc>
        <w:tc>
          <w:tcPr>
            <w:tcW w:w="2551" w:type="dxa"/>
            <w:vMerge/>
          </w:tcPr>
          <w:p w:rsidR="00905CCF" w:rsidRPr="00C4542A" w:rsidRDefault="00905CCF" w:rsidP="00CE1C84">
            <w:pPr>
              <w:jc w:val="right"/>
              <w:rPr>
                <w:sz w:val="20"/>
                <w:szCs w:val="20"/>
              </w:rPr>
            </w:pPr>
          </w:p>
        </w:tc>
      </w:tr>
      <w:tr w:rsidR="00905CCF" w:rsidRPr="00C4542A" w:rsidTr="00905CCF">
        <w:trPr>
          <w:trHeight w:val="376"/>
        </w:trPr>
        <w:tc>
          <w:tcPr>
            <w:tcW w:w="3969" w:type="dxa"/>
            <w:vAlign w:val="center"/>
          </w:tcPr>
          <w:p w:rsidR="00905CCF" w:rsidRPr="00C4542A" w:rsidRDefault="00661CDF" w:rsidP="00661CDF">
            <w:pPr>
              <w:rPr>
                <w:sz w:val="20"/>
                <w:szCs w:val="20"/>
              </w:rPr>
            </w:pPr>
            <w:r>
              <w:rPr>
                <w:sz w:val="20"/>
                <w:szCs w:val="20"/>
              </w:rPr>
              <w:t>B</w:t>
            </w:r>
            <w:r w:rsidR="00905CCF" w:rsidRPr="00C4542A">
              <w:rPr>
                <w:sz w:val="20"/>
                <w:szCs w:val="20"/>
              </w:rPr>
              <w:t>udovy, stavby</w:t>
            </w:r>
          </w:p>
        </w:tc>
        <w:tc>
          <w:tcPr>
            <w:tcW w:w="2552" w:type="dxa"/>
            <w:vAlign w:val="center"/>
          </w:tcPr>
          <w:p w:rsidR="00905CCF" w:rsidRPr="00C4542A" w:rsidRDefault="00905CCF" w:rsidP="00CE1C84">
            <w:pPr>
              <w:jc w:val="right"/>
              <w:rPr>
                <w:sz w:val="20"/>
                <w:szCs w:val="20"/>
              </w:rPr>
            </w:pPr>
            <w:r w:rsidRPr="00C4542A">
              <w:rPr>
                <w:sz w:val="20"/>
                <w:szCs w:val="20"/>
              </w:rPr>
              <w:t>3.595.602.413,60</w:t>
            </w:r>
          </w:p>
        </w:tc>
        <w:tc>
          <w:tcPr>
            <w:tcW w:w="2551" w:type="dxa"/>
            <w:vAlign w:val="center"/>
          </w:tcPr>
          <w:p w:rsidR="00905CCF" w:rsidRPr="00C4542A" w:rsidRDefault="00905CCF" w:rsidP="00603708">
            <w:pPr>
              <w:jc w:val="right"/>
              <w:rPr>
                <w:sz w:val="20"/>
                <w:szCs w:val="20"/>
              </w:rPr>
            </w:pPr>
            <w:r w:rsidRPr="00C4542A">
              <w:rPr>
                <w:sz w:val="20"/>
                <w:szCs w:val="20"/>
              </w:rPr>
              <w:t>3.699.758.641,09</w:t>
            </w:r>
          </w:p>
        </w:tc>
      </w:tr>
      <w:tr w:rsidR="00905CCF" w:rsidRPr="00C4542A" w:rsidTr="00905CCF">
        <w:trPr>
          <w:trHeight w:val="402"/>
        </w:trPr>
        <w:tc>
          <w:tcPr>
            <w:tcW w:w="3969" w:type="dxa"/>
            <w:vAlign w:val="center"/>
          </w:tcPr>
          <w:p w:rsidR="00905CCF" w:rsidRPr="00C4542A" w:rsidRDefault="00905CCF" w:rsidP="009773CE">
            <w:pPr>
              <w:rPr>
                <w:sz w:val="20"/>
                <w:szCs w:val="20"/>
              </w:rPr>
            </w:pPr>
            <w:r w:rsidRPr="00C4542A">
              <w:rPr>
                <w:sz w:val="20"/>
                <w:szCs w:val="20"/>
              </w:rPr>
              <w:t xml:space="preserve">Pozemky </w:t>
            </w:r>
          </w:p>
        </w:tc>
        <w:tc>
          <w:tcPr>
            <w:tcW w:w="2552" w:type="dxa"/>
            <w:vAlign w:val="center"/>
          </w:tcPr>
          <w:p w:rsidR="00905CCF" w:rsidRPr="00C4542A" w:rsidRDefault="00905CCF" w:rsidP="00CE1C84">
            <w:pPr>
              <w:jc w:val="right"/>
              <w:rPr>
                <w:sz w:val="20"/>
                <w:szCs w:val="20"/>
              </w:rPr>
            </w:pPr>
            <w:r w:rsidRPr="00C4542A">
              <w:rPr>
                <w:sz w:val="20"/>
                <w:szCs w:val="20"/>
              </w:rPr>
              <w:t>2.199.757.240,53</w:t>
            </w:r>
          </w:p>
        </w:tc>
        <w:tc>
          <w:tcPr>
            <w:tcW w:w="2551" w:type="dxa"/>
            <w:vAlign w:val="center"/>
          </w:tcPr>
          <w:p w:rsidR="00905CCF" w:rsidRPr="00C4542A" w:rsidRDefault="00905CCF" w:rsidP="00603708">
            <w:pPr>
              <w:jc w:val="right"/>
              <w:rPr>
                <w:sz w:val="20"/>
                <w:szCs w:val="20"/>
              </w:rPr>
            </w:pPr>
            <w:r w:rsidRPr="00C4542A">
              <w:rPr>
                <w:sz w:val="20"/>
                <w:szCs w:val="20"/>
              </w:rPr>
              <w:t>2.195.115.073,80</w:t>
            </w:r>
          </w:p>
        </w:tc>
      </w:tr>
      <w:tr w:rsidR="00905CCF" w:rsidRPr="00C4542A" w:rsidTr="00905CCF">
        <w:trPr>
          <w:trHeight w:val="440"/>
        </w:trPr>
        <w:tc>
          <w:tcPr>
            <w:tcW w:w="3969" w:type="dxa"/>
            <w:vAlign w:val="center"/>
          </w:tcPr>
          <w:p w:rsidR="00905CCF" w:rsidRPr="00C4542A" w:rsidRDefault="00905CCF" w:rsidP="009773CE">
            <w:pPr>
              <w:rPr>
                <w:sz w:val="20"/>
                <w:szCs w:val="20"/>
                <w:highlight w:val="yellow"/>
              </w:rPr>
            </w:pPr>
            <w:r w:rsidRPr="00C4542A">
              <w:rPr>
                <w:sz w:val="20"/>
                <w:szCs w:val="20"/>
              </w:rPr>
              <w:t>Ostatní dlouhodobý hmotný majetek</w:t>
            </w:r>
          </w:p>
        </w:tc>
        <w:tc>
          <w:tcPr>
            <w:tcW w:w="2552" w:type="dxa"/>
            <w:vAlign w:val="center"/>
          </w:tcPr>
          <w:p w:rsidR="00905CCF" w:rsidRPr="00C4542A" w:rsidRDefault="00905CCF" w:rsidP="00CE1C84">
            <w:pPr>
              <w:jc w:val="right"/>
              <w:rPr>
                <w:sz w:val="20"/>
                <w:szCs w:val="20"/>
              </w:rPr>
            </w:pPr>
            <w:r w:rsidRPr="00C4542A">
              <w:rPr>
                <w:sz w:val="20"/>
                <w:szCs w:val="20"/>
              </w:rPr>
              <w:t>126.107.322,52</w:t>
            </w:r>
          </w:p>
        </w:tc>
        <w:tc>
          <w:tcPr>
            <w:tcW w:w="2551" w:type="dxa"/>
            <w:vAlign w:val="center"/>
          </w:tcPr>
          <w:p w:rsidR="00905CCF" w:rsidRPr="00C4542A" w:rsidRDefault="00905CCF" w:rsidP="00603708">
            <w:pPr>
              <w:jc w:val="right"/>
              <w:rPr>
                <w:sz w:val="20"/>
                <w:szCs w:val="20"/>
              </w:rPr>
            </w:pPr>
            <w:r w:rsidRPr="00C4542A">
              <w:rPr>
                <w:sz w:val="20"/>
                <w:szCs w:val="20"/>
              </w:rPr>
              <w:t>116.324.591,51</w:t>
            </w:r>
          </w:p>
        </w:tc>
      </w:tr>
      <w:tr w:rsidR="00905CCF" w:rsidRPr="00C4542A" w:rsidTr="00DE5346">
        <w:trPr>
          <w:trHeight w:val="400"/>
        </w:trPr>
        <w:tc>
          <w:tcPr>
            <w:tcW w:w="3969" w:type="dxa"/>
            <w:shd w:val="clear" w:color="auto" w:fill="EEECE1"/>
            <w:vAlign w:val="center"/>
          </w:tcPr>
          <w:p w:rsidR="00905CCF" w:rsidRPr="00C4542A" w:rsidRDefault="00905CCF" w:rsidP="00CE1C84">
            <w:pPr>
              <w:rPr>
                <w:b/>
                <w:sz w:val="20"/>
                <w:szCs w:val="20"/>
              </w:rPr>
            </w:pPr>
            <w:r w:rsidRPr="00C4542A">
              <w:rPr>
                <w:b/>
                <w:sz w:val="20"/>
                <w:szCs w:val="20"/>
              </w:rPr>
              <w:t xml:space="preserve">Celkem dlouhodobý majetek </w:t>
            </w:r>
          </w:p>
        </w:tc>
        <w:tc>
          <w:tcPr>
            <w:tcW w:w="2552" w:type="dxa"/>
            <w:shd w:val="clear" w:color="auto" w:fill="EEECE1"/>
            <w:vAlign w:val="center"/>
          </w:tcPr>
          <w:p w:rsidR="00905CCF" w:rsidRPr="00C4542A" w:rsidRDefault="00905CCF" w:rsidP="00B73E8A">
            <w:pPr>
              <w:jc w:val="right"/>
              <w:rPr>
                <w:b/>
                <w:sz w:val="20"/>
                <w:szCs w:val="20"/>
              </w:rPr>
            </w:pPr>
            <w:r w:rsidRPr="00C4542A">
              <w:rPr>
                <w:b/>
                <w:sz w:val="20"/>
                <w:szCs w:val="20"/>
              </w:rPr>
              <w:t>5.954.998.254,21</w:t>
            </w:r>
          </w:p>
        </w:tc>
        <w:tc>
          <w:tcPr>
            <w:tcW w:w="2551" w:type="dxa"/>
            <w:shd w:val="clear" w:color="auto" w:fill="EEECE1"/>
            <w:vAlign w:val="center"/>
          </w:tcPr>
          <w:p w:rsidR="00905CCF" w:rsidRPr="00C4542A" w:rsidRDefault="00905CCF" w:rsidP="00603708">
            <w:pPr>
              <w:jc w:val="right"/>
              <w:rPr>
                <w:b/>
                <w:sz w:val="20"/>
                <w:szCs w:val="20"/>
              </w:rPr>
            </w:pPr>
            <w:r w:rsidRPr="00C4542A">
              <w:rPr>
                <w:b/>
                <w:sz w:val="20"/>
                <w:szCs w:val="20"/>
              </w:rPr>
              <w:t>6.042.581.705,66</w:t>
            </w:r>
          </w:p>
        </w:tc>
      </w:tr>
      <w:tr w:rsidR="00905CCF" w:rsidRPr="00C4542A" w:rsidTr="00905CCF">
        <w:trPr>
          <w:trHeight w:val="436"/>
        </w:trPr>
        <w:tc>
          <w:tcPr>
            <w:tcW w:w="3969" w:type="dxa"/>
            <w:vAlign w:val="center"/>
          </w:tcPr>
          <w:p w:rsidR="00905CCF" w:rsidRPr="00C4542A" w:rsidRDefault="00905CCF" w:rsidP="00A04AF5">
            <w:pPr>
              <w:rPr>
                <w:sz w:val="20"/>
                <w:szCs w:val="20"/>
              </w:rPr>
            </w:pPr>
            <w:r w:rsidRPr="00C4542A">
              <w:rPr>
                <w:sz w:val="20"/>
                <w:szCs w:val="20"/>
              </w:rPr>
              <w:t>Nedokončený dlouhodobý nehmotný majetek</w:t>
            </w:r>
          </w:p>
        </w:tc>
        <w:tc>
          <w:tcPr>
            <w:tcW w:w="2552" w:type="dxa"/>
            <w:vAlign w:val="center"/>
          </w:tcPr>
          <w:p w:rsidR="00905CCF" w:rsidRPr="00C4542A" w:rsidRDefault="00905CCF" w:rsidP="003029BA">
            <w:pPr>
              <w:jc w:val="right"/>
              <w:rPr>
                <w:sz w:val="20"/>
                <w:szCs w:val="20"/>
              </w:rPr>
            </w:pPr>
            <w:r w:rsidRPr="00C4542A">
              <w:rPr>
                <w:sz w:val="20"/>
                <w:szCs w:val="20"/>
              </w:rPr>
              <w:t>1.214.374,00</w:t>
            </w:r>
          </w:p>
        </w:tc>
        <w:tc>
          <w:tcPr>
            <w:tcW w:w="2551" w:type="dxa"/>
            <w:vAlign w:val="center"/>
          </w:tcPr>
          <w:p w:rsidR="00905CCF" w:rsidRPr="00C4542A" w:rsidRDefault="00905CCF" w:rsidP="00603708">
            <w:pPr>
              <w:jc w:val="right"/>
              <w:rPr>
                <w:sz w:val="20"/>
                <w:szCs w:val="20"/>
              </w:rPr>
            </w:pPr>
            <w:r w:rsidRPr="00C4542A">
              <w:rPr>
                <w:sz w:val="20"/>
                <w:szCs w:val="20"/>
              </w:rPr>
              <w:t>1.014.424,00</w:t>
            </w:r>
          </w:p>
        </w:tc>
      </w:tr>
      <w:tr w:rsidR="00905CCF" w:rsidRPr="00C4542A" w:rsidTr="008F1D14">
        <w:trPr>
          <w:trHeight w:val="416"/>
        </w:trPr>
        <w:tc>
          <w:tcPr>
            <w:tcW w:w="3969" w:type="dxa"/>
            <w:vAlign w:val="center"/>
          </w:tcPr>
          <w:p w:rsidR="00905CCF" w:rsidRPr="00C4542A" w:rsidRDefault="00905CCF" w:rsidP="00A04AF5">
            <w:pPr>
              <w:rPr>
                <w:b/>
                <w:sz w:val="20"/>
                <w:szCs w:val="20"/>
              </w:rPr>
            </w:pPr>
            <w:r w:rsidRPr="00C4542A">
              <w:rPr>
                <w:sz w:val="20"/>
                <w:szCs w:val="20"/>
              </w:rPr>
              <w:t>Nedokončený dlouhodobý hmotný majetek</w:t>
            </w:r>
          </w:p>
        </w:tc>
        <w:tc>
          <w:tcPr>
            <w:tcW w:w="2552" w:type="dxa"/>
            <w:vAlign w:val="center"/>
          </w:tcPr>
          <w:p w:rsidR="00905CCF" w:rsidRPr="00C4542A" w:rsidRDefault="00905CCF" w:rsidP="00CE1C84">
            <w:pPr>
              <w:jc w:val="right"/>
              <w:rPr>
                <w:sz w:val="20"/>
                <w:szCs w:val="20"/>
              </w:rPr>
            </w:pPr>
            <w:r w:rsidRPr="00C4542A">
              <w:rPr>
                <w:sz w:val="20"/>
                <w:szCs w:val="20"/>
              </w:rPr>
              <w:t>87.021.377,80</w:t>
            </w:r>
          </w:p>
        </w:tc>
        <w:tc>
          <w:tcPr>
            <w:tcW w:w="2551" w:type="dxa"/>
            <w:vAlign w:val="center"/>
          </w:tcPr>
          <w:p w:rsidR="00905CCF" w:rsidRPr="00C4542A" w:rsidRDefault="00905CCF" w:rsidP="008F1D14">
            <w:pPr>
              <w:jc w:val="right"/>
              <w:rPr>
                <w:sz w:val="20"/>
                <w:szCs w:val="20"/>
              </w:rPr>
            </w:pPr>
            <w:r w:rsidRPr="00C4542A">
              <w:rPr>
                <w:sz w:val="20"/>
                <w:szCs w:val="20"/>
              </w:rPr>
              <w:t>77.483.489,85</w:t>
            </w:r>
          </w:p>
        </w:tc>
      </w:tr>
      <w:tr w:rsidR="00905CCF" w:rsidRPr="00C4542A" w:rsidTr="00661CDF">
        <w:trPr>
          <w:trHeight w:val="539"/>
        </w:trPr>
        <w:tc>
          <w:tcPr>
            <w:tcW w:w="3969" w:type="dxa"/>
            <w:vAlign w:val="center"/>
          </w:tcPr>
          <w:p w:rsidR="00905CCF" w:rsidRPr="00C4542A" w:rsidRDefault="00905CCF" w:rsidP="00D94F0E">
            <w:pPr>
              <w:rPr>
                <w:sz w:val="20"/>
                <w:szCs w:val="20"/>
              </w:rPr>
            </w:pPr>
            <w:r w:rsidRPr="00C4542A">
              <w:rPr>
                <w:sz w:val="20"/>
                <w:szCs w:val="20"/>
              </w:rPr>
              <w:t>Dlouhodobé pohledávky /na účtu poskytnuté návratné finanční výpo</w:t>
            </w:r>
            <w:r w:rsidR="00BC7F05">
              <w:rPr>
                <w:sz w:val="20"/>
                <w:szCs w:val="20"/>
              </w:rPr>
              <w:t>moci</w:t>
            </w:r>
            <w:r w:rsidRPr="00C4542A">
              <w:rPr>
                <w:sz w:val="20"/>
                <w:szCs w:val="20"/>
              </w:rPr>
              <w:t>/</w:t>
            </w:r>
          </w:p>
        </w:tc>
        <w:tc>
          <w:tcPr>
            <w:tcW w:w="2552" w:type="dxa"/>
            <w:vAlign w:val="center"/>
          </w:tcPr>
          <w:p w:rsidR="00905CCF" w:rsidRPr="00C4542A" w:rsidRDefault="00905CCF" w:rsidP="001C62D9">
            <w:pPr>
              <w:jc w:val="right"/>
              <w:rPr>
                <w:sz w:val="20"/>
                <w:szCs w:val="20"/>
              </w:rPr>
            </w:pPr>
            <w:r w:rsidRPr="00C4542A">
              <w:rPr>
                <w:sz w:val="20"/>
                <w:szCs w:val="20"/>
              </w:rPr>
              <w:t>300.000,00</w:t>
            </w:r>
          </w:p>
        </w:tc>
        <w:tc>
          <w:tcPr>
            <w:tcW w:w="2551" w:type="dxa"/>
            <w:vAlign w:val="center"/>
          </w:tcPr>
          <w:p w:rsidR="00905CCF" w:rsidRPr="00C4542A" w:rsidRDefault="008F1D14" w:rsidP="008F1D14">
            <w:pPr>
              <w:jc w:val="right"/>
              <w:rPr>
                <w:sz w:val="20"/>
                <w:szCs w:val="20"/>
              </w:rPr>
            </w:pPr>
            <w:r w:rsidRPr="00C4542A">
              <w:rPr>
                <w:sz w:val="20"/>
                <w:szCs w:val="20"/>
              </w:rPr>
              <w:t>1.300.000,00</w:t>
            </w:r>
          </w:p>
        </w:tc>
      </w:tr>
      <w:tr w:rsidR="00905CCF" w:rsidRPr="00C4542A" w:rsidTr="008F1D14">
        <w:trPr>
          <w:trHeight w:val="416"/>
        </w:trPr>
        <w:tc>
          <w:tcPr>
            <w:tcW w:w="3969" w:type="dxa"/>
            <w:vAlign w:val="center"/>
          </w:tcPr>
          <w:p w:rsidR="00905CCF" w:rsidRPr="00C4542A" w:rsidRDefault="00905CCF" w:rsidP="009773CE">
            <w:pPr>
              <w:rPr>
                <w:sz w:val="20"/>
                <w:szCs w:val="20"/>
              </w:rPr>
            </w:pPr>
            <w:r w:rsidRPr="00C4542A">
              <w:rPr>
                <w:sz w:val="20"/>
                <w:szCs w:val="20"/>
              </w:rPr>
              <w:t xml:space="preserve">Dlouhodobé poskytnuté zálohy </w:t>
            </w:r>
          </w:p>
        </w:tc>
        <w:tc>
          <w:tcPr>
            <w:tcW w:w="2552" w:type="dxa"/>
            <w:vAlign w:val="center"/>
          </w:tcPr>
          <w:p w:rsidR="00905CCF" w:rsidRPr="00C4542A" w:rsidRDefault="00905CCF" w:rsidP="003029BA">
            <w:pPr>
              <w:jc w:val="right"/>
              <w:rPr>
                <w:sz w:val="20"/>
                <w:szCs w:val="20"/>
              </w:rPr>
            </w:pPr>
            <w:r w:rsidRPr="00C4542A">
              <w:rPr>
                <w:sz w:val="20"/>
                <w:szCs w:val="20"/>
              </w:rPr>
              <w:t>3.769.593,69</w:t>
            </w:r>
          </w:p>
        </w:tc>
        <w:tc>
          <w:tcPr>
            <w:tcW w:w="2551" w:type="dxa"/>
            <w:vAlign w:val="center"/>
          </w:tcPr>
          <w:p w:rsidR="00905CCF" w:rsidRPr="00C4542A" w:rsidRDefault="008F1D14" w:rsidP="008F1D14">
            <w:pPr>
              <w:jc w:val="right"/>
              <w:rPr>
                <w:sz w:val="20"/>
                <w:szCs w:val="20"/>
              </w:rPr>
            </w:pPr>
            <w:r w:rsidRPr="00C4542A">
              <w:rPr>
                <w:sz w:val="20"/>
                <w:szCs w:val="20"/>
              </w:rPr>
              <w:t>1.514.840,00</w:t>
            </w:r>
          </w:p>
        </w:tc>
      </w:tr>
      <w:tr w:rsidR="00905CCF" w:rsidRPr="00C4542A" w:rsidTr="00DE5346">
        <w:trPr>
          <w:trHeight w:val="400"/>
        </w:trPr>
        <w:tc>
          <w:tcPr>
            <w:tcW w:w="3969" w:type="dxa"/>
            <w:shd w:val="clear" w:color="auto" w:fill="EEECE1"/>
            <w:vAlign w:val="center"/>
          </w:tcPr>
          <w:p w:rsidR="00905CCF" w:rsidRPr="00C4542A" w:rsidRDefault="00905CCF" w:rsidP="00CE1C84">
            <w:pPr>
              <w:rPr>
                <w:b/>
                <w:sz w:val="20"/>
                <w:szCs w:val="20"/>
              </w:rPr>
            </w:pPr>
            <w:r w:rsidRPr="00C4542A">
              <w:rPr>
                <w:b/>
                <w:sz w:val="20"/>
                <w:szCs w:val="20"/>
              </w:rPr>
              <w:lastRenderedPageBreak/>
              <w:t xml:space="preserve">Celkem </w:t>
            </w:r>
          </w:p>
        </w:tc>
        <w:tc>
          <w:tcPr>
            <w:tcW w:w="2552" w:type="dxa"/>
            <w:shd w:val="clear" w:color="auto" w:fill="EEECE1"/>
            <w:vAlign w:val="center"/>
          </w:tcPr>
          <w:p w:rsidR="00905CCF" w:rsidRPr="00C4542A" w:rsidRDefault="00905CCF" w:rsidP="004F5593">
            <w:pPr>
              <w:jc w:val="right"/>
              <w:rPr>
                <w:b/>
                <w:sz w:val="20"/>
                <w:szCs w:val="20"/>
              </w:rPr>
            </w:pPr>
            <w:r w:rsidRPr="00C4542A">
              <w:rPr>
                <w:b/>
                <w:sz w:val="20"/>
                <w:szCs w:val="20"/>
              </w:rPr>
              <w:t>6.047.303.599,70</w:t>
            </w:r>
          </w:p>
        </w:tc>
        <w:tc>
          <w:tcPr>
            <w:tcW w:w="2551" w:type="dxa"/>
            <w:shd w:val="clear" w:color="auto" w:fill="EEECE1"/>
            <w:vAlign w:val="center"/>
          </w:tcPr>
          <w:p w:rsidR="00905CCF" w:rsidRPr="00C4542A" w:rsidRDefault="008F1D14" w:rsidP="008F1D14">
            <w:pPr>
              <w:jc w:val="right"/>
              <w:rPr>
                <w:b/>
                <w:sz w:val="20"/>
                <w:szCs w:val="20"/>
              </w:rPr>
            </w:pPr>
            <w:r w:rsidRPr="00C4542A">
              <w:rPr>
                <w:b/>
                <w:sz w:val="20"/>
                <w:szCs w:val="20"/>
              </w:rPr>
              <w:t>6.123.894.459,51</w:t>
            </w:r>
          </w:p>
        </w:tc>
      </w:tr>
    </w:tbl>
    <w:p w:rsidR="007608EA" w:rsidRDefault="007608EA" w:rsidP="00A04AF5">
      <w:pPr>
        <w:jc w:val="both"/>
        <w:rPr>
          <w:sz w:val="22"/>
          <w:szCs w:val="22"/>
        </w:rPr>
      </w:pPr>
    </w:p>
    <w:p w:rsidR="00D12E22" w:rsidRDefault="00D94F0E" w:rsidP="00A04AF5">
      <w:pPr>
        <w:jc w:val="both"/>
        <w:rPr>
          <w:sz w:val="22"/>
          <w:szCs w:val="22"/>
        </w:rPr>
      </w:pPr>
      <w:r w:rsidRPr="00F20418">
        <w:rPr>
          <w:sz w:val="22"/>
          <w:szCs w:val="22"/>
        </w:rPr>
        <w:t xml:space="preserve">Na účtu poskytnuté </w:t>
      </w:r>
      <w:r w:rsidR="00D12E22" w:rsidRPr="00F20418">
        <w:rPr>
          <w:sz w:val="22"/>
          <w:szCs w:val="22"/>
        </w:rPr>
        <w:t>návratné finanční výpomoci</w:t>
      </w:r>
      <w:r w:rsidR="001C62D9" w:rsidRPr="00F20418">
        <w:rPr>
          <w:sz w:val="22"/>
          <w:szCs w:val="22"/>
        </w:rPr>
        <w:t xml:space="preserve"> dlouhodobé </w:t>
      </w:r>
      <w:r w:rsidRPr="00F20418">
        <w:rPr>
          <w:sz w:val="22"/>
          <w:szCs w:val="22"/>
        </w:rPr>
        <w:t>se promítá f</w:t>
      </w:r>
      <w:r w:rsidR="001C62D9" w:rsidRPr="00F20418">
        <w:rPr>
          <w:sz w:val="22"/>
          <w:szCs w:val="22"/>
        </w:rPr>
        <w:t>inanční výpomoc na vybud</w:t>
      </w:r>
      <w:r w:rsidR="001C62D9" w:rsidRPr="00F20418">
        <w:rPr>
          <w:sz w:val="22"/>
          <w:szCs w:val="22"/>
        </w:rPr>
        <w:t>o</w:t>
      </w:r>
      <w:r w:rsidR="001C62D9" w:rsidRPr="00F20418">
        <w:rPr>
          <w:sz w:val="22"/>
          <w:szCs w:val="22"/>
        </w:rPr>
        <w:t>vání Víceúčelové sportovní haly MČ Praha Lipence</w:t>
      </w:r>
      <w:r w:rsidR="00D12E22" w:rsidRPr="00F20418">
        <w:rPr>
          <w:sz w:val="22"/>
          <w:szCs w:val="22"/>
        </w:rPr>
        <w:t xml:space="preserve">. </w:t>
      </w:r>
      <w:r w:rsidR="00BC7F05">
        <w:rPr>
          <w:sz w:val="22"/>
          <w:szCs w:val="22"/>
        </w:rPr>
        <w:t>Této městské části byla v roce 2010 poskytnuta půjčka ve výši 6 mil. Kč, vzhledem k potřebě MČ Praha Lipence byla výše půjčky snížena na 4,3 mil.</w:t>
      </w:r>
      <w:r w:rsidR="00654FA7">
        <w:rPr>
          <w:sz w:val="22"/>
          <w:szCs w:val="22"/>
        </w:rPr>
        <w:t> </w:t>
      </w:r>
      <w:r w:rsidR="00BC7F05">
        <w:rPr>
          <w:sz w:val="22"/>
          <w:szCs w:val="22"/>
        </w:rPr>
        <w:t>Kč. Splátky jsou stanoveny na 1 mil. Kč ročně, splátkový kalendář je dodržován</w:t>
      </w:r>
      <w:r w:rsidR="00654FA7">
        <w:rPr>
          <w:sz w:val="22"/>
          <w:szCs w:val="22"/>
        </w:rPr>
        <w:t>.</w:t>
      </w:r>
      <w:r w:rsidR="00BC7F05">
        <w:rPr>
          <w:sz w:val="22"/>
          <w:szCs w:val="22"/>
        </w:rPr>
        <w:t xml:space="preserve"> </w:t>
      </w:r>
      <w:r w:rsidR="00654FA7">
        <w:rPr>
          <w:sz w:val="22"/>
          <w:szCs w:val="22"/>
        </w:rPr>
        <w:t>P</w:t>
      </w:r>
      <w:r w:rsidR="00BC7F05">
        <w:rPr>
          <w:sz w:val="22"/>
          <w:szCs w:val="22"/>
        </w:rPr>
        <w:t>oslední splátka bude v roce 2014 ve výši 300 tis. Kč.</w:t>
      </w:r>
    </w:p>
    <w:p w:rsidR="00BC7F05" w:rsidRPr="00F20418" w:rsidRDefault="00BC7F05" w:rsidP="00A04AF5">
      <w:pPr>
        <w:jc w:val="both"/>
        <w:rPr>
          <w:sz w:val="22"/>
          <w:szCs w:val="22"/>
        </w:rPr>
      </w:pPr>
    </w:p>
    <w:p w:rsidR="00A04AF5" w:rsidRPr="00F20418" w:rsidRDefault="00A04AF5" w:rsidP="00A04AF5">
      <w:pPr>
        <w:jc w:val="both"/>
        <w:rPr>
          <w:sz w:val="22"/>
          <w:szCs w:val="22"/>
        </w:rPr>
      </w:pPr>
      <w:r w:rsidRPr="00F20418">
        <w:rPr>
          <w:sz w:val="22"/>
          <w:szCs w:val="22"/>
        </w:rPr>
        <w:t>Podrobnější přehled</w:t>
      </w:r>
      <w:r w:rsidR="00C31AF6">
        <w:rPr>
          <w:sz w:val="22"/>
          <w:szCs w:val="22"/>
        </w:rPr>
        <w:t xml:space="preserve"> majetku</w:t>
      </w:r>
      <w:r w:rsidRPr="00F20418">
        <w:rPr>
          <w:sz w:val="22"/>
          <w:szCs w:val="22"/>
        </w:rPr>
        <w:t>, včetně vyčíslení přírůstků, úbytků a porovnání s rokem 20</w:t>
      </w:r>
      <w:r w:rsidR="00DE2F8A" w:rsidRPr="00F20418">
        <w:rPr>
          <w:sz w:val="22"/>
          <w:szCs w:val="22"/>
        </w:rPr>
        <w:t>1</w:t>
      </w:r>
      <w:r w:rsidR="00173284">
        <w:rPr>
          <w:sz w:val="22"/>
          <w:szCs w:val="22"/>
        </w:rPr>
        <w:t>2</w:t>
      </w:r>
      <w:r w:rsidRPr="00F20418">
        <w:rPr>
          <w:sz w:val="22"/>
          <w:szCs w:val="22"/>
        </w:rPr>
        <w:t xml:space="preserve">, je uveden v příloze č. </w:t>
      </w:r>
      <w:r w:rsidR="00AE7E41">
        <w:rPr>
          <w:sz w:val="22"/>
          <w:szCs w:val="22"/>
        </w:rPr>
        <w:t>10</w:t>
      </w:r>
      <w:r w:rsidR="002311FF" w:rsidRPr="00F20418">
        <w:rPr>
          <w:sz w:val="22"/>
          <w:szCs w:val="22"/>
        </w:rPr>
        <w:t>.</w:t>
      </w:r>
    </w:p>
    <w:p w:rsidR="002311FF" w:rsidRPr="00F20418" w:rsidRDefault="002311FF" w:rsidP="00A04AF5">
      <w:pPr>
        <w:jc w:val="both"/>
        <w:rPr>
          <w:sz w:val="22"/>
          <w:szCs w:val="22"/>
        </w:rPr>
      </w:pPr>
    </w:p>
    <w:p w:rsidR="00D71C47" w:rsidRPr="004F02C9" w:rsidRDefault="00BF0A3C" w:rsidP="00AA76C9">
      <w:pPr>
        <w:pStyle w:val="Nadpis2"/>
        <w:rPr>
          <w:rStyle w:val="Siln"/>
          <w:sz w:val="24"/>
        </w:rPr>
      </w:pPr>
      <w:bookmarkStart w:id="37" w:name="_Toc224964532"/>
      <w:bookmarkStart w:id="38" w:name="_Toc194288869"/>
      <w:bookmarkStart w:id="39" w:name="_Toc385875220"/>
      <w:r w:rsidRPr="00223A89">
        <w:rPr>
          <w:rStyle w:val="Siln"/>
          <w:sz w:val="24"/>
        </w:rPr>
        <w:t>4.</w:t>
      </w:r>
      <w:r w:rsidR="00D71C47" w:rsidRPr="00223A89">
        <w:rPr>
          <w:rStyle w:val="Siln"/>
          <w:sz w:val="24"/>
        </w:rPr>
        <w:t xml:space="preserve"> </w:t>
      </w:r>
      <w:r w:rsidR="00AB0734" w:rsidRPr="00223A89">
        <w:rPr>
          <w:rStyle w:val="Siln"/>
          <w:sz w:val="24"/>
        </w:rPr>
        <w:t xml:space="preserve">Stav </w:t>
      </w:r>
      <w:r w:rsidR="00DA737C" w:rsidRPr="00223A89">
        <w:rPr>
          <w:rStyle w:val="Siln"/>
          <w:sz w:val="24"/>
        </w:rPr>
        <w:t>účelových fondů a finančních aktiv</w:t>
      </w:r>
      <w:bookmarkEnd w:id="37"/>
      <w:bookmarkEnd w:id="38"/>
      <w:bookmarkEnd w:id="39"/>
    </w:p>
    <w:p w:rsidR="008810B4" w:rsidRDefault="00D71C47" w:rsidP="00011388">
      <w:pPr>
        <w:jc w:val="both"/>
        <w:rPr>
          <w:sz w:val="22"/>
          <w:szCs w:val="22"/>
        </w:rPr>
      </w:pPr>
      <w:r w:rsidRPr="00F20418">
        <w:rPr>
          <w:sz w:val="22"/>
          <w:szCs w:val="22"/>
        </w:rPr>
        <w:t xml:space="preserve">Městská část má zřízeny peněžní fondy. </w:t>
      </w:r>
      <w:r w:rsidR="00011388" w:rsidRPr="00F20418">
        <w:rPr>
          <w:sz w:val="22"/>
          <w:szCs w:val="22"/>
        </w:rPr>
        <w:t>T</w:t>
      </w:r>
      <w:r w:rsidRPr="00F20418">
        <w:rPr>
          <w:sz w:val="22"/>
          <w:szCs w:val="22"/>
        </w:rPr>
        <w:t>vorba</w:t>
      </w:r>
      <w:r w:rsidR="00956776" w:rsidRPr="00F20418">
        <w:rPr>
          <w:sz w:val="22"/>
          <w:szCs w:val="22"/>
        </w:rPr>
        <w:t xml:space="preserve"> a </w:t>
      </w:r>
      <w:r w:rsidRPr="00F20418">
        <w:rPr>
          <w:sz w:val="22"/>
          <w:szCs w:val="22"/>
        </w:rPr>
        <w:t>použití</w:t>
      </w:r>
      <w:r w:rsidR="00C46469">
        <w:rPr>
          <w:sz w:val="22"/>
          <w:szCs w:val="22"/>
        </w:rPr>
        <w:t xml:space="preserve"> fondů</w:t>
      </w:r>
      <w:r w:rsidRPr="00F20418">
        <w:rPr>
          <w:sz w:val="22"/>
          <w:szCs w:val="22"/>
        </w:rPr>
        <w:t xml:space="preserve"> </w:t>
      </w:r>
      <w:r w:rsidR="00956776" w:rsidRPr="00F20418">
        <w:rPr>
          <w:sz w:val="22"/>
          <w:szCs w:val="22"/>
        </w:rPr>
        <w:t xml:space="preserve">se řídí zákonem </w:t>
      </w:r>
      <w:r w:rsidR="008D07E2">
        <w:rPr>
          <w:sz w:val="22"/>
          <w:szCs w:val="22"/>
        </w:rPr>
        <w:t>č. 250/2000 Sb.</w:t>
      </w:r>
      <w:r w:rsidR="00654FA7">
        <w:rPr>
          <w:sz w:val="22"/>
          <w:szCs w:val="22"/>
        </w:rPr>
        <w:t>,</w:t>
      </w:r>
      <w:r w:rsidR="008D07E2">
        <w:rPr>
          <w:sz w:val="22"/>
          <w:szCs w:val="22"/>
        </w:rPr>
        <w:t xml:space="preserve"> </w:t>
      </w:r>
      <w:r w:rsidR="00956776" w:rsidRPr="00F20418">
        <w:rPr>
          <w:sz w:val="22"/>
          <w:szCs w:val="22"/>
        </w:rPr>
        <w:t>o rozpočtových pravidlech územních rozpočtů</w:t>
      </w:r>
      <w:r w:rsidR="00764CCD" w:rsidRPr="00F20418">
        <w:rPr>
          <w:sz w:val="22"/>
          <w:szCs w:val="22"/>
        </w:rPr>
        <w:t>,</w:t>
      </w:r>
      <w:r w:rsidR="00F77B63">
        <w:rPr>
          <w:sz w:val="22"/>
          <w:szCs w:val="22"/>
        </w:rPr>
        <w:t xml:space="preserve"> </w:t>
      </w:r>
      <w:r w:rsidR="00764CCD" w:rsidRPr="00F20418">
        <w:rPr>
          <w:sz w:val="22"/>
          <w:szCs w:val="22"/>
        </w:rPr>
        <w:t>Směrnicí o hospodaření s finančními prostředky</w:t>
      </w:r>
      <w:r w:rsidR="00DA1EE4">
        <w:rPr>
          <w:sz w:val="22"/>
          <w:szCs w:val="22"/>
        </w:rPr>
        <w:t>,</w:t>
      </w:r>
      <w:r w:rsidR="00764CCD" w:rsidRPr="00F20418">
        <w:rPr>
          <w:sz w:val="22"/>
          <w:szCs w:val="22"/>
        </w:rPr>
        <w:t xml:space="preserve"> </w:t>
      </w:r>
      <w:r w:rsidR="005F551A">
        <w:rPr>
          <w:sz w:val="22"/>
          <w:szCs w:val="22"/>
        </w:rPr>
        <w:t>schv</w:t>
      </w:r>
      <w:r w:rsidR="005F551A">
        <w:rPr>
          <w:sz w:val="22"/>
          <w:szCs w:val="22"/>
        </w:rPr>
        <w:t>á</w:t>
      </w:r>
      <w:r w:rsidR="005F551A">
        <w:rPr>
          <w:sz w:val="22"/>
          <w:szCs w:val="22"/>
        </w:rPr>
        <w:t xml:space="preserve">lenými </w:t>
      </w:r>
      <w:r w:rsidR="00764CCD" w:rsidRPr="00F20418">
        <w:rPr>
          <w:sz w:val="22"/>
          <w:szCs w:val="22"/>
        </w:rPr>
        <w:t>Zásadami pro hospodaření s finančními prostředky sociálního fondu</w:t>
      </w:r>
      <w:r w:rsidR="00DA1EE4">
        <w:rPr>
          <w:sz w:val="22"/>
          <w:szCs w:val="22"/>
        </w:rPr>
        <w:t xml:space="preserve"> a usnesením ZMČ k vytvoření dočasného peněžního fondu</w:t>
      </w:r>
      <w:r w:rsidR="00EA0463">
        <w:rPr>
          <w:sz w:val="22"/>
          <w:szCs w:val="22"/>
        </w:rPr>
        <w:t>.</w:t>
      </w:r>
    </w:p>
    <w:p w:rsidR="00D032E0" w:rsidRDefault="00D032E0" w:rsidP="005F551A">
      <w:pPr>
        <w:rPr>
          <w:sz w:val="18"/>
          <w:szCs w:val="18"/>
        </w:rPr>
      </w:pPr>
    </w:p>
    <w:p w:rsidR="00C77067" w:rsidRDefault="0004564B" w:rsidP="009C1277">
      <w:pPr>
        <w:pStyle w:val="Nadpis3"/>
      </w:pPr>
      <w:bookmarkStart w:id="40" w:name="_Toc385875221"/>
      <w:r>
        <w:t>F</w:t>
      </w:r>
      <w:r w:rsidR="00162CE1">
        <w:t>ond rezerv a rozvoje</w:t>
      </w:r>
      <w:bookmarkEnd w:id="40"/>
    </w:p>
    <w:p w:rsidR="009C1277" w:rsidRDefault="009C1277" w:rsidP="006667DE">
      <w:pPr>
        <w:jc w:val="both"/>
        <w:rPr>
          <w:sz w:val="22"/>
          <w:szCs w:val="22"/>
        </w:rPr>
      </w:pPr>
      <w:r>
        <w:rPr>
          <w:sz w:val="22"/>
          <w:szCs w:val="22"/>
        </w:rPr>
        <w:t>Tento peněžní fond je určen pro vytvoření rezervy finančních prostředků na nepředvídané a neplán</w:t>
      </w:r>
      <w:r>
        <w:rPr>
          <w:sz w:val="22"/>
          <w:szCs w:val="22"/>
        </w:rPr>
        <w:t>o</w:t>
      </w:r>
      <w:r>
        <w:rPr>
          <w:sz w:val="22"/>
          <w:szCs w:val="22"/>
        </w:rPr>
        <w:t>vané výdaje městské části. Po schválení zastupitelstvem se z něj také hradí vybrané investice</w:t>
      </w:r>
      <w:r w:rsidR="006667DE">
        <w:rPr>
          <w:sz w:val="22"/>
          <w:szCs w:val="22"/>
        </w:rPr>
        <w:t xml:space="preserve"> či jiné výdaje</w:t>
      </w:r>
      <w:r>
        <w:rPr>
          <w:sz w:val="22"/>
          <w:szCs w:val="22"/>
        </w:rPr>
        <w:t xml:space="preserve">. </w:t>
      </w:r>
      <w:r w:rsidR="006667DE">
        <w:rPr>
          <w:sz w:val="22"/>
          <w:szCs w:val="22"/>
        </w:rPr>
        <w:t>V tabulce jsou uvedeny všechny pohyby na fondu v roce 2013.</w:t>
      </w:r>
    </w:p>
    <w:p w:rsidR="00C77067" w:rsidRPr="009E14D2" w:rsidRDefault="0004564B" w:rsidP="0004564B">
      <w:pPr>
        <w:jc w:val="right"/>
        <w:rPr>
          <w:sz w:val="22"/>
          <w:szCs w:val="22"/>
        </w:rPr>
      </w:pPr>
      <w:r w:rsidRPr="009E14D2">
        <w:rPr>
          <w:sz w:val="22"/>
          <w:szCs w:val="22"/>
        </w:rPr>
        <w:t>v Kč</w:t>
      </w:r>
    </w:p>
    <w:tbl>
      <w:tblPr>
        <w:tblW w:w="0" w:type="auto"/>
        <w:tblInd w:w="108" w:type="dxa"/>
        <w:tblLayout w:type="fixed"/>
        <w:tblLook w:val="0000"/>
      </w:tblPr>
      <w:tblGrid>
        <w:gridCol w:w="7371"/>
        <w:gridCol w:w="1704"/>
      </w:tblGrid>
      <w:tr w:rsidR="00C77067" w:rsidRPr="00C4542A" w:rsidTr="00E47E87">
        <w:trPr>
          <w:trHeight w:val="402"/>
        </w:trPr>
        <w:tc>
          <w:tcPr>
            <w:tcW w:w="7371" w:type="dxa"/>
            <w:tcBorders>
              <w:top w:val="single" w:sz="4" w:space="0" w:color="000000"/>
              <w:left w:val="single" w:sz="4" w:space="0" w:color="000000"/>
              <w:bottom w:val="single" w:sz="4" w:space="0" w:color="000000"/>
            </w:tcBorders>
            <w:shd w:val="clear" w:color="auto" w:fill="EEECE1"/>
            <w:vAlign w:val="center"/>
          </w:tcPr>
          <w:p w:rsidR="00C77067" w:rsidRPr="00C4542A" w:rsidRDefault="00C77067" w:rsidP="00E47E87">
            <w:pPr>
              <w:snapToGrid w:val="0"/>
              <w:rPr>
                <w:b/>
                <w:sz w:val="20"/>
                <w:szCs w:val="20"/>
                <w:shd w:val="clear" w:color="auto" w:fill="FFFF00"/>
              </w:rPr>
            </w:pPr>
            <w:r w:rsidRPr="00C4542A">
              <w:rPr>
                <w:b/>
                <w:sz w:val="20"/>
                <w:szCs w:val="20"/>
              </w:rPr>
              <w:t>Počáteční stav účtu Fondu rezerv a rozvoje k 1.1.2013</w:t>
            </w:r>
          </w:p>
        </w:tc>
        <w:tc>
          <w:tcPr>
            <w:tcW w:w="170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C77067" w:rsidRPr="00C4542A" w:rsidRDefault="00C77067" w:rsidP="00E47E87">
            <w:pPr>
              <w:snapToGrid w:val="0"/>
              <w:jc w:val="right"/>
              <w:rPr>
                <w:b/>
                <w:sz w:val="20"/>
                <w:szCs w:val="20"/>
                <w:shd w:val="clear" w:color="auto" w:fill="FFFF00"/>
              </w:rPr>
            </w:pPr>
            <w:r w:rsidRPr="00C4542A">
              <w:rPr>
                <w:b/>
                <w:sz w:val="20"/>
                <w:szCs w:val="20"/>
              </w:rPr>
              <w:t>227.676.472,24</w:t>
            </w:r>
          </w:p>
        </w:tc>
      </w:tr>
      <w:tr w:rsidR="00C77067" w:rsidRPr="00C4542A" w:rsidTr="007A7EDA">
        <w:trPr>
          <w:trHeight w:val="306"/>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C77067" w:rsidP="00E47E87">
            <w:pPr>
              <w:snapToGrid w:val="0"/>
              <w:rPr>
                <w:sz w:val="20"/>
                <w:szCs w:val="20"/>
              </w:rPr>
            </w:pPr>
            <w:r w:rsidRPr="00C4542A">
              <w:rPr>
                <w:sz w:val="20"/>
                <w:szCs w:val="20"/>
              </w:rPr>
              <w:t xml:space="preserve">Úroky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C77067" w:rsidP="00C77067">
            <w:pPr>
              <w:snapToGrid w:val="0"/>
              <w:jc w:val="right"/>
              <w:rPr>
                <w:sz w:val="20"/>
                <w:szCs w:val="20"/>
              </w:rPr>
            </w:pPr>
            <w:r w:rsidRPr="00C4542A">
              <w:rPr>
                <w:sz w:val="20"/>
                <w:szCs w:val="20"/>
              </w:rPr>
              <w:t>2.454.045,41</w:t>
            </w:r>
          </w:p>
        </w:tc>
      </w:tr>
      <w:tr w:rsidR="00C77067" w:rsidRPr="00C4542A" w:rsidTr="00E47E87">
        <w:trPr>
          <w:trHeight w:val="297"/>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C77067" w:rsidP="00E47E87">
            <w:pPr>
              <w:snapToGrid w:val="0"/>
              <w:rPr>
                <w:sz w:val="20"/>
                <w:szCs w:val="20"/>
              </w:rPr>
            </w:pPr>
            <w:r w:rsidRPr="00C4542A">
              <w:rPr>
                <w:sz w:val="20"/>
                <w:szCs w:val="20"/>
              </w:rPr>
              <w:t>Bankovní</w:t>
            </w:r>
            <w:r w:rsidR="00AA76C9" w:rsidRPr="00C4542A">
              <w:rPr>
                <w:sz w:val="20"/>
                <w:szCs w:val="20"/>
              </w:rPr>
              <w:t xml:space="preserve"> </w:t>
            </w:r>
            <w:r w:rsidRPr="00C4542A">
              <w:rPr>
                <w:sz w:val="20"/>
                <w:szCs w:val="20"/>
              </w:rPr>
              <w:t xml:space="preserve">poplatky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C77067" w:rsidP="00D72199">
            <w:pPr>
              <w:snapToGrid w:val="0"/>
              <w:jc w:val="right"/>
              <w:rPr>
                <w:sz w:val="20"/>
                <w:szCs w:val="20"/>
              </w:rPr>
            </w:pPr>
            <w:r w:rsidRPr="00C4542A">
              <w:rPr>
                <w:sz w:val="20"/>
                <w:szCs w:val="20"/>
              </w:rPr>
              <w:t>-1.5</w:t>
            </w:r>
            <w:r w:rsidR="00D72199" w:rsidRPr="00C4542A">
              <w:rPr>
                <w:sz w:val="20"/>
                <w:szCs w:val="20"/>
              </w:rPr>
              <w:t>73,50</w:t>
            </w:r>
          </w:p>
        </w:tc>
      </w:tr>
      <w:tr w:rsidR="00C77067" w:rsidRPr="00C4542A" w:rsidTr="00E47E87">
        <w:trPr>
          <w:trHeight w:val="288"/>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C77067" w:rsidP="00E47E87">
            <w:pPr>
              <w:snapToGrid w:val="0"/>
              <w:rPr>
                <w:sz w:val="20"/>
                <w:szCs w:val="20"/>
              </w:rPr>
            </w:pPr>
            <w:r w:rsidRPr="00C4542A">
              <w:rPr>
                <w:sz w:val="20"/>
                <w:szCs w:val="20"/>
              </w:rPr>
              <w:t>Převod na krytí výdajů – stav. Úpravy stávajícího sportoviště a jeho oplocení u ul. Pi</w:t>
            </w:r>
            <w:r w:rsidRPr="00C4542A">
              <w:rPr>
                <w:sz w:val="20"/>
                <w:szCs w:val="20"/>
              </w:rPr>
              <w:t>v</w:t>
            </w:r>
            <w:r w:rsidRPr="00C4542A">
              <w:rPr>
                <w:sz w:val="20"/>
                <w:szCs w:val="20"/>
              </w:rPr>
              <w:t>cova – pozemek č. 1798/4,</w:t>
            </w:r>
            <w:r w:rsidR="00EA0463">
              <w:rPr>
                <w:sz w:val="20"/>
                <w:szCs w:val="20"/>
              </w:rPr>
              <w:t xml:space="preserve"> </w:t>
            </w:r>
            <w:r w:rsidRPr="00C4542A">
              <w:rPr>
                <w:sz w:val="20"/>
                <w:szCs w:val="20"/>
              </w:rPr>
              <w:t>k.</w:t>
            </w:r>
            <w:r w:rsidR="00AF42ED">
              <w:rPr>
                <w:sz w:val="20"/>
                <w:szCs w:val="20"/>
              </w:rPr>
              <w:t xml:space="preserve"> </w:t>
            </w:r>
            <w:r w:rsidRPr="00C4542A">
              <w:rPr>
                <w:sz w:val="20"/>
                <w:szCs w:val="20"/>
              </w:rPr>
              <w:t xml:space="preserve">ú. Hlubočepy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C77067" w:rsidP="00E47E87">
            <w:pPr>
              <w:snapToGrid w:val="0"/>
              <w:jc w:val="right"/>
              <w:rPr>
                <w:sz w:val="20"/>
                <w:szCs w:val="20"/>
              </w:rPr>
            </w:pPr>
            <w:r w:rsidRPr="00C4542A">
              <w:rPr>
                <w:sz w:val="20"/>
                <w:szCs w:val="20"/>
              </w:rPr>
              <w:t>-2.668.008,04</w:t>
            </w:r>
          </w:p>
        </w:tc>
      </w:tr>
      <w:tr w:rsidR="00C77067" w:rsidRPr="00C4542A" w:rsidTr="00E47E87">
        <w:trPr>
          <w:trHeight w:val="288"/>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C77067" w:rsidP="00E47E87">
            <w:pPr>
              <w:snapToGrid w:val="0"/>
              <w:rPr>
                <w:sz w:val="20"/>
                <w:szCs w:val="20"/>
              </w:rPr>
            </w:pPr>
            <w:r w:rsidRPr="00C4542A">
              <w:rPr>
                <w:sz w:val="20"/>
                <w:szCs w:val="20"/>
              </w:rPr>
              <w:t>Převod na krytí výdajů -. Snížení energetické náročnosti budovy MŠ Peroutkova, úprava PD MŠ Podbělohorská, zateplení fasády, terasy, výměna oken</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C77067" w:rsidP="00E47E87">
            <w:pPr>
              <w:snapToGrid w:val="0"/>
              <w:jc w:val="right"/>
              <w:rPr>
                <w:sz w:val="20"/>
                <w:szCs w:val="20"/>
                <w:shd w:val="clear" w:color="auto" w:fill="FFFFFF"/>
              </w:rPr>
            </w:pPr>
            <w:r w:rsidRPr="00C4542A">
              <w:rPr>
                <w:sz w:val="20"/>
                <w:szCs w:val="20"/>
                <w:shd w:val="clear" w:color="auto" w:fill="FFFFFF"/>
              </w:rPr>
              <w:t>-1.749.878,00</w:t>
            </w:r>
          </w:p>
        </w:tc>
      </w:tr>
      <w:tr w:rsidR="00C77067" w:rsidRPr="00C4542A" w:rsidTr="00E47E87">
        <w:trPr>
          <w:trHeight w:val="288"/>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C77067" w:rsidP="00E47E87">
            <w:pPr>
              <w:snapToGrid w:val="0"/>
              <w:rPr>
                <w:sz w:val="20"/>
                <w:szCs w:val="20"/>
              </w:rPr>
            </w:pPr>
            <w:r w:rsidRPr="00C4542A">
              <w:rPr>
                <w:sz w:val="20"/>
                <w:szCs w:val="20"/>
              </w:rPr>
              <w:t>Převod na krytí výdajů – výstavba sportovní haly na squash – FZŠ Barrandov II, V R</w:t>
            </w:r>
            <w:r w:rsidRPr="00C4542A">
              <w:rPr>
                <w:sz w:val="20"/>
                <w:szCs w:val="20"/>
              </w:rPr>
              <w:t>e</w:t>
            </w:r>
            <w:r w:rsidRPr="00C4542A">
              <w:rPr>
                <w:sz w:val="20"/>
                <w:szCs w:val="20"/>
              </w:rPr>
              <w:t>mízku 919/4</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C77067" w:rsidP="00E47E87">
            <w:pPr>
              <w:snapToGrid w:val="0"/>
              <w:jc w:val="right"/>
              <w:rPr>
                <w:sz w:val="20"/>
                <w:szCs w:val="20"/>
              </w:rPr>
            </w:pPr>
            <w:r w:rsidRPr="00C4542A">
              <w:rPr>
                <w:sz w:val="20"/>
                <w:szCs w:val="20"/>
              </w:rPr>
              <w:t>-2.293.248,73</w:t>
            </w:r>
          </w:p>
        </w:tc>
      </w:tr>
      <w:tr w:rsidR="00C77067" w:rsidRPr="00C4542A" w:rsidTr="00E47E87">
        <w:trPr>
          <w:trHeight w:val="288"/>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C77067" w:rsidP="00E47E87">
            <w:pPr>
              <w:snapToGrid w:val="0"/>
              <w:rPr>
                <w:sz w:val="20"/>
                <w:szCs w:val="20"/>
              </w:rPr>
            </w:pPr>
            <w:r w:rsidRPr="00C4542A">
              <w:rPr>
                <w:sz w:val="20"/>
                <w:szCs w:val="20"/>
              </w:rPr>
              <w:t>Převod na krytí výdajů – FZŠ Barrandov II – výstavba sportovní haly na squash – ned</w:t>
            </w:r>
            <w:r w:rsidRPr="00C4542A">
              <w:rPr>
                <w:sz w:val="20"/>
                <w:szCs w:val="20"/>
              </w:rPr>
              <w:t>o</w:t>
            </w:r>
            <w:r w:rsidRPr="00C4542A">
              <w:rPr>
                <w:sz w:val="20"/>
                <w:szCs w:val="20"/>
              </w:rPr>
              <w:t>dělky z přejímacího protokolu, stavební úpravy spojené s vřazováním tříd MŠ</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C77067" w:rsidP="00E47E87">
            <w:pPr>
              <w:snapToGrid w:val="0"/>
              <w:jc w:val="right"/>
              <w:rPr>
                <w:sz w:val="20"/>
                <w:szCs w:val="20"/>
              </w:rPr>
            </w:pPr>
            <w:r w:rsidRPr="00C4542A">
              <w:rPr>
                <w:sz w:val="20"/>
                <w:szCs w:val="20"/>
              </w:rPr>
              <w:t>-3.032.415,16</w:t>
            </w:r>
          </w:p>
        </w:tc>
      </w:tr>
      <w:tr w:rsidR="00C77067" w:rsidRPr="00C4542A" w:rsidTr="00E47E87">
        <w:trPr>
          <w:trHeight w:val="288"/>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C77067" w:rsidP="00E47E87">
            <w:pPr>
              <w:snapToGrid w:val="0"/>
              <w:rPr>
                <w:sz w:val="20"/>
                <w:szCs w:val="20"/>
              </w:rPr>
            </w:pPr>
            <w:r w:rsidRPr="00C4542A">
              <w:rPr>
                <w:sz w:val="20"/>
                <w:szCs w:val="20"/>
              </w:rPr>
              <w:t>Převod na krytí výdajů – snížení energetické náročnosti budovy ZŠ Barrandov, Chapl</w:t>
            </w:r>
            <w:r w:rsidRPr="00C4542A">
              <w:rPr>
                <w:sz w:val="20"/>
                <w:szCs w:val="20"/>
              </w:rPr>
              <w:t>i</w:t>
            </w:r>
            <w:r w:rsidRPr="00C4542A">
              <w:rPr>
                <w:sz w:val="20"/>
                <w:szCs w:val="20"/>
              </w:rPr>
              <w:t xml:space="preserve">novo nám. 1/615, Praha 5 – Hlubočepy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11280B" w:rsidP="0011280B">
            <w:pPr>
              <w:snapToGrid w:val="0"/>
              <w:jc w:val="right"/>
              <w:rPr>
                <w:sz w:val="20"/>
                <w:szCs w:val="20"/>
                <w:shd w:val="clear" w:color="auto" w:fill="FFFF66"/>
              </w:rPr>
            </w:pPr>
            <w:r w:rsidRPr="00C4542A">
              <w:rPr>
                <w:sz w:val="20"/>
                <w:szCs w:val="20"/>
              </w:rPr>
              <w:t>-19.553.699,06</w:t>
            </w:r>
          </w:p>
        </w:tc>
      </w:tr>
      <w:tr w:rsidR="00C77067" w:rsidRPr="00C4542A" w:rsidTr="00E47E87">
        <w:trPr>
          <w:trHeight w:val="288"/>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C77067" w:rsidP="00E47E87">
            <w:pPr>
              <w:snapToGrid w:val="0"/>
              <w:rPr>
                <w:sz w:val="20"/>
                <w:szCs w:val="20"/>
              </w:rPr>
            </w:pPr>
            <w:r w:rsidRPr="00C4542A">
              <w:rPr>
                <w:sz w:val="20"/>
                <w:szCs w:val="20"/>
              </w:rPr>
              <w:t xml:space="preserve">Převod na krytí výdajů – dodání a montáž herních prvků, včetně zhotovení dopadových ploch z kačírku do MŠ Naskové, Praha 5 – Košíře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C77067" w:rsidP="00E47E87">
            <w:pPr>
              <w:snapToGrid w:val="0"/>
              <w:jc w:val="right"/>
              <w:rPr>
                <w:sz w:val="20"/>
                <w:szCs w:val="20"/>
              </w:rPr>
            </w:pPr>
            <w:r w:rsidRPr="00C4542A">
              <w:rPr>
                <w:sz w:val="20"/>
                <w:szCs w:val="20"/>
              </w:rPr>
              <w:t>-639.241,00</w:t>
            </w:r>
          </w:p>
        </w:tc>
      </w:tr>
      <w:tr w:rsidR="00C77067" w:rsidRPr="00C4542A" w:rsidTr="00E47E87">
        <w:trPr>
          <w:trHeight w:val="288"/>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C77067" w:rsidP="00E47E87">
            <w:pPr>
              <w:snapToGrid w:val="0"/>
              <w:rPr>
                <w:sz w:val="20"/>
                <w:szCs w:val="20"/>
              </w:rPr>
            </w:pPr>
            <w:r w:rsidRPr="00C4542A">
              <w:rPr>
                <w:sz w:val="20"/>
                <w:szCs w:val="20"/>
              </w:rPr>
              <w:t>Převod na krytí výdajů – souvisejících s vyplacením odměn v důsledku zajišťování úkolů při červnových povodních</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C77067" w:rsidP="00E47E87">
            <w:pPr>
              <w:snapToGrid w:val="0"/>
              <w:jc w:val="right"/>
              <w:rPr>
                <w:sz w:val="20"/>
                <w:szCs w:val="20"/>
              </w:rPr>
            </w:pPr>
            <w:r w:rsidRPr="00C4542A">
              <w:rPr>
                <w:sz w:val="20"/>
                <w:szCs w:val="20"/>
              </w:rPr>
              <w:t>-1.232.801,00</w:t>
            </w:r>
          </w:p>
        </w:tc>
      </w:tr>
      <w:tr w:rsidR="00C77067" w:rsidRPr="00C4542A" w:rsidTr="00E47E87">
        <w:trPr>
          <w:trHeight w:val="288"/>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C77067" w:rsidP="00EA0463">
            <w:pPr>
              <w:snapToGrid w:val="0"/>
              <w:rPr>
                <w:sz w:val="20"/>
                <w:szCs w:val="20"/>
              </w:rPr>
            </w:pPr>
            <w:r w:rsidRPr="00C4542A">
              <w:rPr>
                <w:sz w:val="20"/>
                <w:szCs w:val="20"/>
              </w:rPr>
              <w:t>Převod na krytí výdajů –FZŠ Barrandov II, V Remízku – stavební úpravy spojené s vř</w:t>
            </w:r>
            <w:r w:rsidRPr="00C4542A">
              <w:rPr>
                <w:sz w:val="20"/>
                <w:szCs w:val="20"/>
              </w:rPr>
              <w:t>a</w:t>
            </w:r>
            <w:r w:rsidRPr="00C4542A">
              <w:rPr>
                <w:sz w:val="20"/>
                <w:szCs w:val="20"/>
              </w:rPr>
              <w:t>zováním 2 tříd MŠ do objektu Záhorského 887, ZŠ Weberova 1090/1 –stav</w:t>
            </w:r>
            <w:r w:rsidR="00EA0463">
              <w:rPr>
                <w:sz w:val="20"/>
                <w:szCs w:val="20"/>
              </w:rPr>
              <w:t>ební</w:t>
            </w:r>
            <w:r w:rsidRPr="00C4542A">
              <w:rPr>
                <w:sz w:val="20"/>
                <w:szCs w:val="20"/>
              </w:rPr>
              <w:t xml:space="preserve"> úpravy</w:t>
            </w:r>
            <w:r w:rsidR="00EA0463" w:rsidRPr="00C4542A">
              <w:rPr>
                <w:sz w:val="20"/>
                <w:szCs w:val="20"/>
              </w:rPr>
              <w:t xml:space="preserve"> spojené</w:t>
            </w:r>
            <w:r w:rsidRPr="00C4542A">
              <w:rPr>
                <w:sz w:val="20"/>
                <w:szCs w:val="20"/>
              </w:rPr>
              <w:t xml:space="preserve"> s vřazováním třídy MŠ – PD, dodání a montáž herních prvků</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C77067" w:rsidP="00E47E87">
            <w:pPr>
              <w:snapToGrid w:val="0"/>
              <w:jc w:val="right"/>
              <w:rPr>
                <w:sz w:val="20"/>
                <w:szCs w:val="20"/>
              </w:rPr>
            </w:pPr>
            <w:r w:rsidRPr="00C4542A">
              <w:rPr>
                <w:sz w:val="20"/>
                <w:szCs w:val="20"/>
              </w:rPr>
              <w:t>-5.097.701,42</w:t>
            </w:r>
          </w:p>
        </w:tc>
      </w:tr>
      <w:tr w:rsidR="00C77067" w:rsidRPr="00C4542A" w:rsidTr="00E47E87">
        <w:trPr>
          <w:trHeight w:val="264"/>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C77067" w:rsidP="00E47E87">
            <w:pPr>
              <w:snapToGrid w:val="0"/>
              <w:rPr>
                <w:sz w:val="20"/>
                <w:szCs w:val="20"/>
              </w:rPr>
            </w:pPr>
            <w:r w:rsidRPr="00C4542A">
              <w:rPr>
                <w:sz w:val="20"/>
                <w:szCs w:val="20"/>
              </w:rPr>
              <w:t>Převod na krytí výdajů – snížení energetické náročnosti budovy MŠ U železničního mostu 2629 – zpracování a dodání PD</w:t>
            </w:r>
            <w:r w:rsidR="00F6272E" w:rsidRPr="00C4542A">
              <w:rPr>
                <w:sz w:val="20"/>
                <w:szCs w:val="20"/>
              </w:rPr>
              <w:t xml:space="preserve">, stavební práce, zateplení objektu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F6272E" w:rsidP="0011280B">
            <w:pPr>
              <w:snapToGrid w:val="0"/>
              <w:jc w:val="right"/>
              <w:rPr>
                <w:sz w:val="20"/>
                <w:szCs w:val="20"/>
              </w:rPr>
            </w:pPr>
            <w:r w:rsidRPr="00C4542A">
              <w:rPr>
                <w:sz w:val="20"/>
                <w:szCs w:val="20"/>
              </w:rPr>
              <w:t>-</w:t>
            </w:r>
            <w:r w:rsidR="0011280B" w:rsidRPr="00C4542A">
              <w:rPr>
                <w:sz w:val="20"/>
                <w:szCs w:val="20"/>
              </w:rPr>
              <w:t>3.103.100,00</w:t>
            </w:r>
          </w:p>
        </w:tc>
      </w:tr>
      <w:tr w:rsidR="00C77067" w:rsidRPr="00C4542A" w:rsidTr="00E47E87">
        <w:trPr>
          <w:trHeight w:val="282"/>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C77067" w:rsidP="00EA0463">
            <w:pPr>
              <w:snapToGrid w:val="0"/>
              <w:rPr>
                <w:sz w:val="20"/>
                <w:szCs w:val="20"/>
              </w:rPr>
            </w:pPr>
            <w:r w:rsidRPr="00C4542A">
              <w:rPr>
                <w:sz w:val="20"/>
                <w:szCs w:val="20"/>
              </w:rPr>
              <w:t xml:space="preserve">Převod na krytí výdajů - výkon autorského dozoru při realizaci </w:t>
            </w:r>
            <w:r w:rsidR="00EA0463">
              <w:rPr>
                <w:sz w:val="20"/>
                <w:szCs w:val="20"/>
              </w:rPr>
              <w:t>zakázky</w:t>
            </w:r>
            <w:r w:rsidRPr="00C4542A">
              <w:rPr>
                <w:sz w:val="20"/>
                <w:szCs w:val="20"/>
              </w:rPr>
              <w:t xml:space="preserve"> MŠ Podběloho</w:t>
            </w:r>
            <w:r w:rsidRPr="00C4542A">
              <w:rPr>
                <w:sz w:val="20"/>
                <w:szCs w:val="20"/>
              </w:rPr>
              <w:t>r</w:t>
            </w:r>
            <w:r w:rsidRPr="00C4542A">
              <w:rPr>
                <w:sz w:val="20"/>
                <w:szCs w:val="20"/>
              </w:rPr>
              <w:t>ská 1/2185 - zateplení</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C77067" w:rsidP="00E47E87">
            <w:pPr>
              <w:snapToGrid w:val="0"/>
              <w:jc w:val="right"/>
              <w:rPr>
                <w:sz w:val="20"/>
                <w:szCs w:val="20"/>
                <w:shd w:val="clear" w:color="auto" w:fill="FFFFFF"/>
              </w:rPr>
            </w:pPr>
            <w:r w:rsidRPr="00C4542A">
              <w:rPr>
                <w:sz w:val="20"/>
                <w:szCs w:val="20"/>
                <w:shd w:val="clear" w:color="auto" w:fill="FFFFFF"/>
              </w:rPr>
              <w:t>-1.246.071,40</w:t>
            </w:r>
          </w:p>
        </w:tc>
      </w:tr>
      <w:tr w:rsidR="00C77067" w:rsidRPr="00C4542A" w:rsidTr="00C77067">
        <w:trPr>
          <w:trHeight w:val="408"/>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C77067" w:rsidP="00E47E87">
            <w:pPr>
              <w:snapToGrid w:val="0"/>
              <w:rPr>
                <w:sz w:val="20"/>
                <w:szCs w:val="20"/>
              </w:rPr>
            </w:pPr>
            <w:r w:rsidRPr="00C4542A">
              <w:rPr>
                <w:sz w:val="20"/>
                <w:szCs w:val="20"/>
              </w:rPr>
              <w:t>Převod na krytí výdajů – FZŠ B</w:t>
            </w:r>
            <w:r w:rsidR="00133439">
              <w:rPr>
                <w:sz w:val="20"/>
                <w:szCs w:val="20"/>
              </w:rPr>
              <w:t>arrandov II, V Remízku 919/4 – 1</w:t>
            </w:r>
            <w:r w:rsidRPr="00C4542A">
              <w:rPr>
                <w:sz w:val="20"/>
                <w:szCs w:val="20"/>
              </w:rPr>
              <w:t xml:space="preserve">. zálohová faktura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C77067" w:rsidP="00E47E87">
            <w:pPr>
              <w:snapToGrid w:val="0"/>
              <w:jc w:val="right"/>
              <w:rPr>
                <w:sz w:val="20"/>
                <w:szCs w:val="20"/>
              </w:rPr>
            </w:pPr>
            <w:r w:rsidRPr="00C4542A">
              <w:rPr>
                <w:sz w:val="20"/>
                <w:szCs w:val="20"/>
              </w:rPr>
              <w:t>-1.328.930,00</w:t>
            </w:r>
          </w:p>
        </w:tc>
      </w:tr>
      <w:tr w:rsidR="00C77067" w:rsidRPr="00C4542A" w:rsidTr="00E47E87">
        <w:trPr>
          <w:trHeight w:val="262"/>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AA76C9" w:rsidP="00EA0463">
            <w:pPr>
              <w:snapToGrid w:val="0"/>
              <w:rPr>
                <w:sz w:val="20"/>
                <w:szCs w:val="20"/>
              </w:rPr>
            </w:pPr>
            <w:r w:rsidRPr="00C4542A">
              <w:rPr>
                <w:sz w:val="20"/>
                <w:szCs w:val="20"/>
              </w:rPr>
              <w:t>Převod na krytí výdajů – ZŠ W</w:t>
            </w:r>
            <w:r w:rsidR="00C77067" w:rsidRPr="00C4542A">
              <w:rPr>
                <w:sz w:val="20"/>
                <w:szCs w:val="20"/>
              </w:rPr>
              <w:t>eberova</w:t>
            </w:r>
            <w:r w:rsidRPr="00C4542A">
              <w:rPr>
                <w:sz w:val="20"/>
                <w:szCs w:val="20"/>
              </w:rPr>
              <w:t xml:space="preserve"> </w:t>
            </w:r>
            <w:r w:rsidR="00C77067" w:rsidRPr="00C4542A">
              <w:rPr>
                <w:sz w:val="20"/>
                <w:szCs w:val="20"/>
              </w:rPr>
              <w:t>1090/1 – stavební úpravy spojené s vřazováním třídy MŠ, výstavba a montáž 2 squashových kurtů, včetně příslušenství v obj</w:t>
            </w:r>
            <w:r w:rsidR="00EA0463">
              <w:rPr>
                <w:sz w:val="20"/>
                <w:szCs w:val="20"/>
              </w:rPr>
              <w:t>ektu</w:t>
            </w:r>
            <w:r w:rsidR="00C77067" w:rsidRPr="00C4542A">
              <w:rPr>
                <w:sz w:val="20"/>
                <w:szCs w:val="20"/>
              </w:rPr>
              <w:t xml:space="preserve"> FZŠ Barrandov II, V Remízku</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C77067" w:rsidP="00E47E87">
            <w:pPr>
              <w:snapToGrid w:val="0"/>
              <w:jc w:val="right"/>
              <w:rPr>
                <w:sz w:val="20"/>
                <w:szCs w:val="20"/>
              </w:rPr>
            </w:pPr>
            <w:r w:rsidRPr="00C4542A">
              <w:rPr>
                <w:sz w:val="20"/>
                <w:szCs w:val="20"/>
              </w:rPr>
              <w:t>-528.008,28</w:t>
            </w:r>
          </w:p>
        </w:tc>
      </w:tr>
      <w:tr w:rsidR="00C77067" w:rsidRPr="00C4542A" w:rsidTr="00E47E87">
        <w:trPr>
          <w:trHeight w:val="262"/>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C77067" w:rsidP="00E47E87">
            <w:pPr>
              <w:snapToGrid w:val="0"/>
              <w:rPr>
                <w:sz w:val="20"/>
                <w:szCs w:val="20"/>
              </w:rPr>
            </w:pPr>
            <w:r w:rsidRPr="00C4542A">
              <w:rPr>
                <w:sz w:val="20"/>
                <w:szCs w:val="20"/>
              </w:rPr>
              <w:t>Převod na krytí výdajů – MŠ Podbělohorská – zateplení fasády, terasy, výměny oken v herně, autorský dozor, úprava střechy, výměna oken v herně</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C77067" w:rsidP="00E47E87">
            <w:pPr>
              <w:snapToGrid w:val="0"/>
              <w:jc w:val="right"/>
              <w:rPr>
                <w:sz w:val="20"/>
                <w:szCs w:val="20"/>
                <w:shd w:val="clear" w:color="auto" w:fill="FFFFFF"/>
              </w:rPr>
            </w:pPr>
            <w:r w:rsidRPr="00C4542A">
              <w:rPr>
                <w:sz w:val="20"/>
                <w:szCs w:val="20"/>
                <w:shd w:val="clear" w:color="auto" w:fill="FFFFFF"/>
              </w:rPr>
              <w:t>-1.419.131,90</w:t>
            </w:r>
          </w:p>
        </w:tc>
      </w:tr>
      <w:tr w:rsidR="00C77067" w:rsidRPr="00C4542A" w:rsidTr="00E47E87">
        <w:trPr>
          <w:trHeight w:val="376"/>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C77067" w:rsidP="00EA0463">
            <w:pPr>
              <w:snapToGrid w:val="0"/>
              <w:rPr>
                <w:sz w:val="20"/>
                <w:szCs w:val="20"/>
              </w:rPr>
            </w:pPr>
            <w:r w:rsidRPr="00C4542A">
              <w:rPr>
                <w:sz w:val="20"/>
                <w:szCs w:val="20"/>
              </w:rPr>
              <w:t>Převod</w:t>
            </w:r>
            <w:r w:rsidR="00EA0463">
              <w:rPr>
                <w:sz w:val="20"/>
                <w:szCs w:val="20"/>
              </w:rPr>
              <w:t xml:space="preserve"> zůstatku fondu odměn zrušené příspěvkové </w:t>
            </w:r>
            <w:r w:rsidRPr="00C4542A">
              <w:rPr>
                <w:sz w:val="20"/>
                <w:szCs w:val="20"/>
              </w:rPr>
              <w:t>o</w:t>
            </w:r>
            <w:r w:rsidR="00EA0463">
              <w:rPr>
                <w:sz w:val="20"/>
                <w:szCs w:val="20"/>
              </w:rPr>
              <w:t>rganizace</w:t>
            </w:r>
            <w:r w:rsidRPr="00C4542A">
              <w:rPr>
                <w:sz w:val="20"/>
                <w:szCs w:val="20"/>
              </w:rPr>
              <w:t xml:space="preserve"> ZZ Smíchov k 30.6.2013</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C77067" w:rsidP="00E47E87">
            <w:pPr>
              <w:snapToGrid w:val="0"/>
              <w:jc w:val="right"/>
              <w:rPr>
                <w:sz w:val="20"/>
                <w:szCs w:val="20"/>
                <w:shd w:val="clear" w:color="auto" w:fill="FFFFFF"/>
              </w:rPr>
            </w:pPr>
            <w:r w:rsidRPr="00C4542A">
              <w:rPr>
                <w:sz w:val="20"/>
                <w:szCs w:val="20"/>
                <w:shd w:val="clear" w:color="auto" w:fill="FFFFFF"/>
              </w:rPr>
              <w:t>969.608,0</w:t>
            </w:r>
            <w:r w:rsidR="00DB451A">
              <w:rPr>
                <w:sz w:val="20"/>
                <w:szCs w:val="20"/>
                <w:shd w:val="clear" w:color="auto" w:fill="FFFFFF"/>
              </w:rPr>
              <w:t>0</w:t>
            </w:r>
          </w:p>
        </w:tc>
      </w:tr>
      <w:tr w:rsidR="00C77067" w:rsidRPr="00C4542A" w:rsidTr="00E47E87">
        <w:trPr>
          <w:trHeight w:val="410"/>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C77067" w:rsidP="00133439">
            <w:pPr>
              <w:snapToGrid w:val="0"/>
              <w:rPr>
                <w:sz w:val="20"/>
                <w:szCs w:val="20"/>
              </w:rPr>
            </w:pPr>
            <w:r w:rsidRPr="00C4542A">
              <w:rPr>
                <w:sz w:val="20"/>
                <w:szCs w:val="20"/>
              </w:rPr>
              <w:lastRenderedPageBreak/>
              <w:t>Převod fin</w:t>
            </w:r>
            <w:r w:rsidR="00EA0463">
              <w:rPr>
                <w:sz w:val="20"/>
                <w:szCs w:val="20"/>
              </w:rPr>
              <w:t>ančních</w:t>
            </w:r>
            <w:r w:rsidRPr="00C4542A">
              <w:rPr>
                <w:sz w:val="20"/>
                <w:szCs w:val="20"/>
              </w:rPr>
              <w:t xml:space="preserve"> prostř</w:t>
            </w:r>
            <w:r w:rsidR="00EA0463">
              <w:rPr>
                <w:sz w:val="20"/>
                <w:szCs w:val="20"/>
              </w:rPr>
              <w:t>edků</w:t>
            </w:r>
            <w:r w:rsidR="00AF42ED">
              <w:rPr>
                <w:sz w:val="20"/>
                <w:szCs w:val="20"/>
              </w:rPr>
              <w:t xml:space="preserve"> </w:t>
            </w:r>
            <w:r w:rsidRPr="00C4542A">
              <w:rPr>
                <w:sz w:val="20"/>
                <w:szCs w:val="20"/>
              </w:rPr>
              <w:t xml:space="preserve">z Raiffeisenbank po ukončení smlouvy o zhodnocení </w:t>
            </w:r>
            <w:r w:rsidR="00AF42ED" w:rsidRPr="00C4542A">
              <w:rPr>
                <w:sz w:val="20"/>
                <w:szCs w:val="20"/>
              </w:rPr>
              <w:t>f</w:t>
            </w:r>
            <w:r w:rsidR="00AF42ED" w:rsidRPr="00C4542A">
              <w:rPr>
                <w:sz w:val="20"/>
                <w:szCs w:val="20"/>
              </w:rPr>
              <w:t>i</w:t>
            </w:r>
            <w:r w:rsidR="00AF42ED" w:rsidRPr="00C4542A">
              <w:rPr>
                <w:sz w:val="20"/>
                <w:szCs w:val="20"/>
              </w:rPr>
              <w:t>n</w:t>
            </w:r>
            <w:r w:rsidR="00AF42ED">
              <w:rPr>
                <w:sz w:val="20"/>
                <w:szCs w:val="20"/>
              </w:rPr>
              <w:t>ančních</w:t>
            </w:r>
            <w:r w:rsidR="00AF42ED" w:rsidRPr="00C4542A">
              <w:rPr>
                <w:sz w:val="20"/>
                <w:szCs w:val="20"/>
              </w:rPr>
              <w:t xml:space="preserve"> prostř</w:t>
            </w:r>
            <w:r w:rsidR="00AF42ED">
              <w:rPr>
                <w:sz w:val="20"/>
                <w:szCs w:val="20"/>
              </w:rPr>
              <w:t>edků</w:t>
            </w:r>
            <w:r w:rsidRPr="00C4542A">
              <w:rPr>
                <w:sz w:val="20"/>
                <w:szCs w:val="20"/>
              </w:rPr>
              <w:t>, vč</w:t>
            </w:r>
            <w:r w:rsidR="00133439">
              <w:rPr>
                <w:sz w:val="20"/>
                <w:szCs w:val="20"/>
              </w:rPr>
              <w:t>etně</w:t>
            </w:r>
            <w:r w:rsidRPr="00C4542A">
              <w:rPr>
                <w:sz w:val="20"/>
                <w:szCs w:val="20"/>
              </w:rPr>
              <w:t xml:space="preserve"> připsaného úroku, splatného ke dni 16.9.2013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C77067" w:rsidP="00E47E87">
            <w:pPr>
              <w:snapToGrid w:val="0"/>
              <w:jc w:val="right"/>
              <w:rPr>
                <w:sz w:val="20"/>
                <w:szCs w:val="20"/>
                <w:shd w:val="clear" w:color="auto" w:fill="FFFFFF"/>
              </w:rPr>
            </w:pPr>
            <w:r w:rsidRPr="00C4542A">
              <w:rPr>
                <w:sz w:val="20"/>
                <w:szCs w:val="20"/>
                <w:shd w:val="clear" w:color="auto" w:fill="FFFFFF"/>
              </w:rPr>
              <w:t>100.456.246,58</w:t>
            </w:r>
          </w:p>
        </w:tc>
      </w:tr>
      <w:tr w:rsidR="00C77067" w:rsidRPr="00C4542A" w:rsidTr="00E47E8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C77067" w:rsidRPr="00C4542A" w:rsidRDefault="00C77067" w:rsidP="00133439">
            <w:pPr>
              <w:snapToGrid w:val="0"/>
              <w:rPr>
                <w:sz w:val="20"/>
                <w:szCs w:val="20"/>
              </w:rPr>
            </w:pPr>
            <w:r w:rsidRPr="00C4542A">
              <w:rPr>
                <w:sz w:val="20"/>
                <w:szCs w:val="20"/>
              </w:rPr>
              <w:t xml:space="preserve">Převod </w:t>
            </w:r>
            <w:r w:rsidR="00AF42ED" w:rsidRPr="00C4542A">
              <w:rPr>
                <w:sz w:val="20"/>
                <w:szCs w:val="20"/>
              </w:rPr>
              <w:t>fin</w:t>
            </w:r>
            <w:r w:rsidR="00AF42ED">
              <w:rPr>
                <w:sz w:val="20"/>
                <w:szCs w:val="20"/>
              </w:rPr>
              <w:t>ančních</w:t>
            </w:r>
            <w:r w:rsidR="00AF42ED" w:rsidRPr="00C4542A">
              <w:rPr>
                <w:sz w:val="20"/>
                <w:szCs w:val="20"/>
              </w:rPr>
              <w:t xml:space="preserve"> prostř</w:t>
            </w:r>
            <w:r w:rsidR="00AF42ED">
              <w:rPr>
                <w:sz w:val="20"/>
                <w:szCs w:val="20"/>
              </w:rPr>
              <w:t xml:space="preserve">edků </w:t>
            </w:r>
            <w:r w:rsidRPr="00C4542A">
              <w:rPr>
                <w:sz w:val="20"/>
                <w:szCs w:val="20"/>
              </w:rPr>
              <w:t xml:space="preserve">ze </w:t>
            </w:r>
            <w:r w:rsidR="00133439">
              <w:rPr>
                <w:sz w:val="20"/>
                <w:szCs w:val="20"/>
              </w:rPr>
              <w:t>základního běžného účtu</w:t>
            </w:r>
            <w:r w:rsidRPr="00C4542A">
              <w:rPr>
                <w:sz w:val="20"/>
                <w:szCs w:val="20"/>
              </w:rPr>
              <w:t xml:space="preserve"> zpět do fondu </w:t>
            </w:r>
            <w:r w:rsidR="00133439">
              <w:rPr>
                <w:sz w:val="20"/>
                <w:szCs w:val="20"/>
              </w:rPr>
              <w:t>v</w:t>
            </w:r>
            <w:r w:rsidRPr="00C4542A">
              <w:rPr>
                <w:sz w:val="20"/>
                <w:szCs w:val="20"/>
              </w:rPr>
              <w:t>e výši přev</w:t>
            </w:r>
            <w:r w:rsidRPr="00C4542A">
              <w:rPr>
                <w:sz w:val="20"/>
                <w:szCs w:val="20"/>
              </w:rPr>
              <w:t>e</w:t>
            </w:r>
            <w:r w:rsidRPr="00C4542A">
              <w:rPr>
                <w:sz w:val="20"/>
                <w:szCs w:val="20"/>
              </w:rPr>
              <w:t xml:space="preserve">dených </w:t>
            </w:r>
            <w:r w:rsidR="00AF42ED" w:rsidRPr="00C4542A">
              <w:rPr>
                <w:sz w:val="20"/>
                <w:szCs w:val="20"/>
              </w:rPr>
              <w:t>fin</w:t>
            </w:r>
            <w:r w:rsidR="00AF42ED">
              <w:rPr>
                <w:sz w:val="20"/>
                <w:szCs w:val="20"/>
              </w:rPr>
              <w:t>ančních</w:t>
            </w:r>
            <w:r w:rsidR="00AF42ED" w:rsidRPr="00C4542A">
              <w:rPr>
                <w:sz w:val="20"/>
                <w:szCs w:val="20"/>
              </w:rPr>
              <w:t xml:space="preserve"> prostř</w:t>
            </w:r>
            <w:r w:rsidR="00AF42ED">
              <w:rPr>
                <w:sz w:val="20"/>
                <w:szCs w:val="20"/>
              </w:rPr>
              <w:t xml:space="preserve">edků </w:t>
            </w:r>
            <w:r w:rsidRPr="00C4542A">
              <w:rPr>
                <w:sz w:val="20"/>
                <w:szCs w:val="20"/>
              </w:rPr>
              <w:t>dle schváleného rozpočtu na krytí výdajů v r</w:t>
            </w:r>
            <w:r w:rsidR="00133439">
              <w:rPr>
                <w:sz w:val="20"/>
                <w:szCs w:val="20"/>
              </w:rPr>
              <w:t>oce</w:t>
            </w:r>
            <w:r w:rsidRPr="00C4542A">
              <w:rPr>
                <w:sz w:val="20"/>
                <w:szCs w:val="20"/>
              </w:rPr>
              <w:t xml:space="preserve"> 2013 – záměna zdrojového krytí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067" w:rsidRPr="00C4542A" w:rsidRDefault="00C77067" w:rsidP="00E47E87">
            <w:pPr>
              <w:snapToGrid w:val="0"/>
              <w:jc w:val="right"/>
              <w:rPr>
                <w:sz w:val="20"/>
                <w:szCs w:val="20"/>
                <w:shd w:val="clear" w:color="auto" w:fill="FFFFFF"/>
              </w:rPr>
            </w:pPr>
            <w:r w:rsidRPr="00C4542A">
              <w:rPr>
                <w:sz w:val="20"/>
                <w:szCs w:val="20"/>
                <w:shd w:val="clear" w:color="auto" w:fill="FFFFFF"/>
              </w:rPr>
              <w:t>18.252.393,35</w:t>
            </w:r>
          </w:p>
        </w:tc>
      </w:tr>
      <w:tr w:rsidR="005B47DF" w:rsidRPr="00C4542A" w:rsidTr="00E47E8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5B47DF" w:rsidRPr="00C4542A" w:rsidRDefault="005B47DF" w:rsidP="00133439">
            <w:pPr>
              <w:snapToGrid w:val="0"/>
              <w:rPr>
                <w:sz w:val="20"/>
                <w:szCs w:val="20"/>
              </w:rPr>
            </w:pPr>
            <w:r w:rsidRPr="00C4542A">
              <w:rPr>
                <w:sz w:val="20"/>
                <w:szCs w:val="20"/>
              </w:rPr>
              <w:t xml:space="preserve">Převod </w:t>
            </w:r>
            <w:r w:rsidR="00AF42ED" w:rsidRPr="00C4542A">
              <w:rPr>
                <w:sz w:val="20"/>
                <w:szCs w:val="20"/>
              </w:rPr>
              <w:t>fin</w:t>
            </w:r>
            <w:r w:rsidR="00AF42ED">
              <w:rPr>
                <w:sz w:val="20"/>
                <w:szCs w:val="20"/>
              </w:rPr>
              <w:t>ančních</w:t>
            </w:r>
            <w:r w:rsidR="00AF42ED" w:rsidRPr="00C4542A">
              <w:rPr>
                <w:sz w:val="20"/>
                <w:szCs w:val="20"/>
              </w:rPr>
              <w:t xml:space="preserve"> prostř</w:t>
            </w:r>
            <w:r w:rsidR="00AF42ED">
              <w:rPr>
                <w:sz w:val="20"/>
                <w:szCs w:val="20"/>
              </w:rPr>
              <w:t>edků z</w:t>
            </w:r>
            <w:r w:rsidRPr="00C4542A">
              <w:rPr>
                <w:sz w:val="20"/>
                <w:szCs w:val="20"/>
              </w:rPr>
              <w:t> </w:t>
            </w:r>
            <w:r w:rsidR="00133439">
              <w:rPr>
                <w:sz w:val="20"/>
                <w:szCs w:val="20"/>
              </w:rPr>
              <w:t>fondu</w:t>
            </w:r>
            <w:r w:rsidRPr="00C4542A">
              <w:rPr>
                <w:sz w:val="20"/>
                <w:szCs w:val="20"/>
              </w:rPr>
              <w:t xml:space="preserve"> na realizaci stav</w:t>
            </w:r>
            <w:r w:rsidR="00133439">
              <w:rPr>
                <w:sz w:val="20"/>
                <w:szCs w:val="20"/>
              </w:rPr>
              <w:t>ebních p</w:t>
            </w:r>
            <w:r w:rsidRPr="00C4542A">
              <w:rPr>
                <w:sz w:val="20"/>
                <w:szCs w:val="20"/>
              </w:rPr>
              <w:t>rací pro projekt</w:t>
            </w:r>
            <w:r w:rsidR="00AF42ED">
              <w:rPr>
                <w:sz w:val="20"/>
                <w:szCs w:val="20"/>
              </w:rPr>
              <w:t xml:space="preserve"> </w:t>
            </w:r>
            <w:r w:rsidRPr="00C4542A">
              <w:rPr>
                <w:sz w:val="20"/>
                <w:szCs w:val="20"/>
              </w:rPr>
              <w:t>Snížení energet</w:t>
            </w:r>
            <w:r w:rsidR="00AF42ED">
              <w:rPr>
                <w:sz w:val="20"/>
                <w:szCs w:val="20"/>
              </w:rPr>
              <w:t>ické</w:t>
            </w:r>
            <w:r w:rsidRPr="00C4542A">
              <w:rPr>
                <w:sz w:val="20"/>
                <w:szCs w:val="20"/>
              </w:rPr>
              <w:t xml:space="preserve"> </w:t>
            </w:r>
            <w:r w:rsidR="00AF42ED">
              <w:rPr>
                <w:sz w:val="20"/>
                <w:szCs w:val="20"/>
              </w:rPr>
              <w:t>n</w:t>
            </w:r>
            <w:r w:rsidRPr="00C4542A">
              <w:rPr>
                <w:sz w:val="20"/>
                <w:szCs w:val="20"/>
              </w:rPr>
              <w:t>áročnosti MŠ Peroutkova</w:t>
            </w:r>
            <w:r w:rsidR="00AA76C9" w:rsidRPr="00C4542A">
              <w:rPr>
                <w:sz w:val="20"/>
                <w:szCs w:val="20"/>
              </w:rPr>
              <w:t xml:space="preserve"> </w:t>
            </w:r>
            <w:r w:rsidRPr="00C4542A">
              <w:rPr>
                <w:sz w:val="20"/>
                <w:szCs w:val="20"/>
              </w:rPr>
              <w:t>1004/24</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7DF" w:rsidRPr="00C4542A" w:rsidRDefault="005B47DF" w:rsidP="00E47E87">
            <w:pPr>
              <w:snapToGrid w:val="0"/>
              <w:jc w:val="right"/>
              <w:rPr>
                <w:sz w:val="20"/>
                <w:szCs w:val="20"/>
                <w:shd w:val="clear" w:color="auto" w:fill="FFFFFF"/>
              </w:rPr>
            </w:pPr>
            <w:r w:rsidRPr="00C4542A">
              <w:rPr>
                <w:sz w:val="20"/>
                <w:szCs w:val="20"/>
                <w:shd w:val="clear" w:color="auto" w:fill="FFFFFF"/>
              </w:rPr>
              <w:t>-3.488.120,00</w:t>
            </w:r>
          </w:p>
        </w:tc>
      </w:tr>
      <w:tr w:rsidR="005B47DF" w:rsidRPr="00C4542A" w:rsidTr="00E47E8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5B47DF" w:rsidRPr="00C4542A" w:rsidRDefault="007B784E" w:rsidP="00037DBE">
            <w:pPr>
              <w:snapToGrid w:val="0"/>
              <w:rPr>
                <w:sz w:val="20"/>
                <w:szCs w:val="20"/>
              </w:rPr>
            </w:pPr>
            <w:r w:rsidRPr="00C4542A">
              <w:rPr>
                <w:sz w:val="20"/>
                <w:szCs w:val="20"/>
              </w:rPr>
              <w:t xml:space="preserve">Převod připsaných úroků za zhodnocení volných </w:t>
            </w:r>
            <w:r w:rsidR="00AF42ED" w:rsidRPr="00C4542A">
              <w:rPr>
                <w:sz w:val="20"/>
                <w:szCs w:val="20"/>
              </w:rPr>
              <w:t>fin</w:t>
            </w:r>
            <w:r w:rsidR="00AF42ED">
              <w:rPr>
                <w:sz w:val="20"/>
                <w:szCs w:val="20"/>
              </w:rPr>
              <w:t>ančních</w:t>
            </w:r>
            <w:r w:rsidR="00AF42ED" w:rsidRPr="00C4542A">
              <w:rPr>
                <w:sz w:val="20"/>
                <w:szCs w:val="20"/>
              </w:rPr>
              <w:t xml:space="preserve"> prostř</w:t>
            </w:r>
            <w:r w:rsidR="00AF42ED">
              <w:rPr>
                <w:sz w:val="20"/>
                <w:szCs w:val="20"/>
              </w:rPr>
              <w:t xml:space="preserve">edků </w:t>
            </w:r>
            <w:r w:rsidRPr="00C4542A">
              <w:rPr>
                <w:sz w:val="20"/>
                <w:szCs w:val="20"/>
              </w:rPr>
              <w:t>přijatých z Rai</w:t>
            </w:r>
            <w:r w:rsidRPr="00C4542A">
              <w:rPr>
                <w:sz w:val="20"/>
                <w:szCs w:val="20"/>
              </w:rPr>
              <w:t>f</w:t>
            </w:r>
            <w:r w:rsidRPr="00C4542A">
              <w:rPr>
                <w:sz w:val="20"/>
                <w:szCs w:val="20"/>
              </w:rPr>
              <w:t>feisenbank</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7DF" w:rsidRPr="00C4542A" w:rsidRDefault="007B784E" w:rsidP="007B784E">
            <w:pPr>
              <w:snapToGrid w:val="0"/>
              <w:jc w:val="right"/>
              <w:rPr>
                <w:sz w:val="20"/>
                <w:szCs w:val="20"/>
                <w:shd w:val="clear" w:color="auto" w:fill="FFFFFF"/>
              </w:rPr>
            </w:pPr>
            <w:r w:rsidRPr="00C4542A">
              <w:rPr>
                <w:sz w:val="20"/>
                <w:szCs w:val="20"/>
                <w:shd w:val="clear" w:color="auto" w:fill="FFFFFF"/>
              </w:rPr>
              <w:t>3.213.680,82</w:t>
            </w:r>
          </w:p>
        </w:tc>
      </w:tr>
      <w:tr w:rsidR="005B47DF" w:rsidRPr="00C4542A" w:rsidTr="00E47E8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5B47DF" w:rsidRPr="00C4542A" w:rsidRDefault="00557B6E" w:rsidP="00133439">
            <w:pPr>
              <w:snapToGrid w:val="0"/>
              <w:rPr>
                <w:sz w:val="20"/>
                <w:szCs w:val="20"/>
              </w:rPr>
            </w:pPr>
            <w:r w:rsidRPr="00C4542A">
              <w:rPr>
                <w:sz w:val="20"/>
                <w:szCs w:val="20"/>
              </w:rPr>
              <w:t>Převod z </w:t>
            </w:r>
            <w:r w:rsidR="00133439">
              <w:rPr>
                <w:sz w:val="20"/>
                <w:szCs w:val="20"/>
              </w:rPr>
              <w:t>fondu</w:t>
            </w:r>
            <w:r w:rsidRPr="00C4542A">
              <w:rPr>
                <w:sz w:val="20"/>
                <w:szCs w:val="20"/>
              </w:rPr>
              <w:t xml:space="preserve"> na financování průzkumu rozsahu poškození Dětského ostrova,</w:t>
            </w:r>
            <w:r w:rsidR="00C4542A" w:rsidRPr="00C4542A">
              <w:rPr>
                <w:sz w:val="20"/>
                <w:szCs w:val="20"/>
              </w:rPr>
              <w:t xml:space="preserve"> </w:t>
            </w:r>
            <w:r w:rsidRPr="00C4542A">
              <w:rPr>
                <w:sz w:val="20"/>
                <w:szCs w:val="20"/>
              </w:rPr>
              <w:t>pr</w:t>
            </w:r>
            <w:r w:rsidRPr="00C4542A">
              <w:rPr>
                <w:sz w:val="20"/>
                <w:szCs w:val="20"/>
              </w:rPr>
              <w:t>ů</w:t>
            </w:r>
            <w:r w:rsidRPr="00C4542A">
              <w:rPr>
                <w:sz w:val="20"/>
                <w:szCs w:val="20"/>
              </w:rPr>
              <w:t>zkumné práce, p</w:t>
            </w:r>
            <w:r w:rsidR="00133439">
              <w:rPr>
                <w:sz w:val="20"/>
                <w:szCs w:val="20"/>
              </w:rPr>
              <w:t>říprava posudků a výkon dohledu</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7DF" w:rsidRPr="00C4542A" w:rsidRDefault="00557B6E" w:rsidP="00E47E87">
            <w:pPr>
              <w:snapToGrid w:val="0"/>
              <w:jc w:val="right"/>
              <w:rPr>
                <w:sz w:val="20"/>
                <w:szCs w:val="20"/>
                <w:shd w:val="clear" w:color="auto" w:fill="FFFFFF"/>
              </w:rPr>
            </w:pPr>
            <w:r w:rsidRPr="00C4542A">
              <w:rPr>
                <w:sz w:val="20"/>
                <w:szCs w:val="20"/>
                <w:shd w:val="clear" w:color="auto" w:fill="FFFFFF"/>
              </w:rPr>
              <w:t>-825.220,00</w:t>
            </w:r>
          </w:p>
        </w:tc>
      </w:tr>
      <w:tr w:rsidR="005B47DF" w:rsidRPr="00C4542A" w:rsidTr="00E47E8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5B47DF" w:rsidRPr="00C4542A" w:rsidRDefault="008561CC" w:rsidP="00C74BB7">
            <w:pPr>
              <w:snapToGrid w:val="0"/>
              <w:rPr>
                <w:sz w:val="20"/>
                <w:szCs w:val="20"/>
              </w:rPr>
            </w:pPr>
            <w:r w:rsidRPr="00C4542A">
              <w:rPr>
                <w:sz w:val="20"/>
                <w:szCs w:val="20"/>
              </w:rPr>
              <w:t>Převod z</w:t>
            </w:r>
            <w:r w:rsidR="00133439">
              <w:rPr>
                <w:sz w:val="20"/>
                <w:szCs w:val="20"/>
              </w:rPr>
              <w:t> výsledku hospodaření</w:t>
            </w:r>
            <w:r w:rsidRPr="00C4542A">
              <w:rPr>
                <w:sz w:val="20"/>
                <w:szCs w:val="20"/>
              </w:rPr>
              <w:t xml:space="preserve"> minulých účetních období r</w:t>
            </w:r>
            <w:r w:rsidR="00C74BB7">
              <w:rPr>
                <w:sz w:val="20"/>
                <w:szCs w:val="20"/>
              </w:rPr>
              <w:t>oku</w:t>
            </w:r>
            <w:r w:rsidRPr="00C4542A">
              <w:rPr>
                <w:sz w:val="20"/>
                <w:szCs w:val="20"/>
              </w:rPr>
              <w:t xml:space="preserve"> 2012 ze zdaňované či</w:t>
            </w:r>
            <w:r w:rsidRPr="00C4542A">
              <w:rPr>
                <w:sz w:val="20"/>
                <w:szCs w:val="20"/>
              </w:rPr>
              <w:t>n</w:t>
            </w:r>
            <w:r w:rsidRPr="00C4542A">
              <w:rPr>
                <w:sz w:val="20"/>
                <w:szCs w:val="20"/>
              </w:rPr>
              <w:t xml:space="preserve">nosti </w:t>
            </w:r>
            <w:r w:rsidR="00133439">
              <w:rPr>
                <w:sz w:val="20"/>
                <w:szCs w:val="20"/>
              </w:rPr>
              <w:t>k posílení fondu</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7DF" w:rsidRPr="00C4542A" w:rsidRDefault="008561CC" w:rsidP="00E47E87">
            <w:pPr>
              <w:snapToGrid w:val="0"/>
              <w:jc w:val="right"/>
              <w:rPr>
                <w:sz w:val="20"/>
                <w:szCs w:val="20"/>
                <w:shd w:val="clear" w:color="auto" w:fill="FFFFFF"/>
              </w:rPr>
            </w:pPr>
            <w:r w:rsidRPr="00C4542A">
              <w:rPr>
                <w:sz w:val="20"/>
                <w:szCs w:val="20"/>
                <w:shd w:val="clear" w:color="auto" w:fill="FFFFFF"/>
              </w:rPr>
              <w:t>100.000.000,00</w:t>
            </w:r>
          </w:p>
        </w:tc>
      </w:tr>
      <w:tr w:rsidR="00904D6A" w:rsidRPr="00C4542A" w:rsidTr="00E47E8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904D6A" w:rsidRPr="00C4542A" w:rsidRDefault="00C907FE" w:rsidP="00AF42ED">
            <w:pPr>
              <w:snapToGrid w:val="0"/>
              <w:rPr>
                <w:sz w:val="20"/>
                <w:szCs w:val="20"/>
              </w:rPr>
            </w:pPr>
            <w:r w:rsidRPr="00C4542A">
              <w:rPr>
                <w:sz w:val="20"/>
                <w:szCs w:val="20"/>
              </w:rPr>
              <w:t xml:space="preserve">Vratka </w:t>
            </w:r>
            <w:r w:rsidR="00AF42ED" w:rsidRPr="00C4542A">
              <w:rPr>
                <w:sz w:val="20"/>
                <w:szCs w:val="20"/>
              </w:rPr>
              <w:t>fin</w:t>
            </w:r>
            <w:r w:rsidR="00AF42ED">
              <w:rPr>
                <w:sz w:val="20"/>
                <w:szCs w:val="20"/>
              </w:rPr>
              <w:t>ančních</w:t>
            </w:r>
            <w:r w:rsidR="00AF42ED" w:rsidRPr="00C4542A">
              <w:rPr>
                <w:sz w:val="20"/>
                <w:szCs w:val="20"/>
              </w:rPr>
              <w:t xml:space="preserve"> prostř</w:t>
            </w:r>
            <w:r w:rsidR="00AF42ED">
              <w:rPr>
                <w:sz w:val="20"/>
                <w:szCs w:val="20"/>
              </w:rPr>
              <w:t xml:space="preserve">edků </w:t>
            </w:r>
            <w:r w:rsidRPr="00C4542A">
              <w:rPr>
                <w:sz w:val="20"/>
                <w:szCs w:val="20"/>
              </w:rPr>
              <w:t>zpět do FRR z důvodu přijetí inv</w:t>
            </w:r>
            <w:r w:rsidR="00AF42ED">
              <w:rPr>
                <w:sz w:val="20"/>
                <w:szCs w:val="20"/>
              </w:rPr>
              <w:t>estiční</w:t>
            </w:r>
            <w:r w:rsidRPr="00C4542A">
              <w:rPr>
                <w:sz w:val="20"/>
                <w:szCs w:val="20"/>
              </w:rPr>
              <w:t xml:space="preserve"> </w:t>
            </w:r>
            <w:r w:rsidR="00223A89" w:rsidRPr="00C4542A">
              <w:rPr>
                <w:sz w:val="20"/>
                <w:szCs w:val="20"/>
              </w:rPr>
              <w:t>d</w:t>
            </w:r>
            <w:r w:rsidR="00133439">
              <w:rPr>
                <w:sz w:val="20"/>
                <w:szCs w:val="20"/>
              </w:rPr>
              <w:t xml:space="preserve">otace na akci </w:t>
            </w:r>
            <w:r w:rsidR="00AF42ED">
              <w:rPr>
                <w:sz w:val="20"/>
                <w:szCs w:val="20"/>
              </w:rPr>
              <w:t>Z</w:t>
            </w:r>
            <w:r w:rsidRPr="00C4542A">
              <w:rPr>
                <w:sz w:val="20"/>
                <w:szCs w:val="20"/>
              </w:rPr>
              <w:t xml:space="preserve">ateplení MŠ U železničního mostu (dotace z EU a SR OPPŽP) </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D6A" w:rsidRPr="00C4542A" w:rsidRDefault="00C907FE" w:rsidP="00E47E87">
            <w:pPr>
              <w:snapToGrid w:val="0"/>
              <w:jc w:val="right"/>
              <w:rPr>
                <w:sz w:val="20"/>
                <w:szCs w:val="20"/>
                <w:shd w:val="clear" w:color="auto" w:fill="FFFFFF"/>
              </w:rPr>
            </w:pPr>
            <w:r w:rsidRPr="00C4542A">
              <w:rPr>
                <w:sz w:val="20"/>
                <w:szCs w:val="20"/>
                <w:shd w:val="clear" w:color="auto" w:fill="FFFFFF"/>
              </w:rPr>
              <w:t>2.003.129,10</w:t>
            </w:r>
          </w:p>
        </w:tc>
      </w:tr>
      <w:tr w:rsidR="00904D6A" w:rsidRPr="00C4542A" w:rsidTr="00E47E8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904D6A" w:rsidRPr="00C4542A" w:rsidRDefault="00A26941" w:rsidP="00133439">
            <w:pPr>
              <w:snapToGrid w:val="0"/>
              <w:rPr>
                <w:sz w:val="20"/>
                <w:szCs w:val="20"/>
              </w:rPr>
            </w:pPr>
            <w:r w:rsidRPr="00C4542A">
              <w:rPr>
                <w:sz w:val="20"/>
                <w:szCs w:val="20"/>
              </w:rPr>
              <w:t xml:space="preserve">Převod uspořených </w:t>
            </w:r>
            <w:r w:rsidR="00AF42ED" w:rsidRPr="00C4542A">
              <w:rPr>
                <w:sz w:val="20"/>
                <w:szCs w:val="20"/>
              </w:rPr>
              <w:t>fin</w:t>
            </w:r>
            <w:r w:rsidR="00AF42ED">
              <w:rPr>
                <w:sz w:val="20"/>
                <w:szCs w:val="20"/>
              </w:rPr>
              <w:t>ančních</w:t>
            </w:r>
            <w:r w:rsidR="00AF42ED" w:rsidRPr="00C4542A">
              <w:rPr>
                <w:sz w:val="20"/>
                <w:szCs w:val="20"/>
              </w:rPr>
              <w:t xml:space="preserve"> prostř</w:t>
            </w:r>
            <w:r w:rsidR="00AF42ED">
              <w:rPr>
                <w:sz w:val="20"/>
                <w:szCs w:val="20"/>
              </w:rPr>
              <w:t xml:space="preserve">edků </w:t>
            </w:r>
            <w:r w:rsidRPr="00C4542A">
              <w:rPr>
                <w:sz w:val="20"/>
                <w:szCs w:val="20"/>
              </w:rPr>
              <w:t xml:space="preserve">z investiční rezervy do </w:t>
            </w:r>
            <w:r w:rsidR="00133439">
              <w:rPr>
                <w:sz w:val="20"/>
                <w:szCs w:val="20"/>
              </w:rPr>
              <w:t>fondu</w:t>
            </w:r>
            <w:r w:rsidRPr="00C4542A">
              <w:rPr>
                <w:sz w:val="20"/>
                <w:szCs w:val="20"/>
              </w:rPr>
              <w:t xml:space="preserve"> (nerealiz</w:t>
            </w:r>
            <w:r w:rsidR="00AF42ED">
              <w:rPr>
                <w:sz w:val="20"/>
                <w:szCs w:val="20"/>
              </w:rPr>
              <w:t>ované</w:t>
            </w:r>
            <w:r w:rsidRPr="00C4542A">
              <w:rPr>
                <w:sz w:val="20"/>
                <w:szCs w:val="20"/>
              </w:rPr>
              <w:t xml:space="preserve"> stav</w:t>
            </w:r>
            <w:r w:rsidR="00AF42ED">
              <w:rPr>
                <w:sz w:val="20"/>
                <w:szCs w:val="20"/>
              </w:rPr>
              <w:t>ební</w:t>
            </w:r>
            <w:r w:rsidRPr="00C4542A">
              <w:rPr>
                <w:sz w:val="20"/>
                <w:szCs w:val="20"/>
              </w:rPr>
              <w:t xml:space="preserve"> akc</w:t>
            </w:r>
            <w:r w:rsidR="00AF42ED">
              <w:rPr>
                <w:sz w:val="20"/>
                <w:szCs w:val="20"/>
              </w:rPr>
              <w:t>e)</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D6A" w:rsidRPr="00C4542A" w:rsidRDefault="00A26941" w:rsidP="00E47E87">
            <w:pPr>
              <w:snapToGrid w:val="0"/>
              <w:jc w:val="right"/>
              <w:rPr>
                <w:sz w:val="20"/>
                <w:szCs w:val="20"/>
                <w:shd w:val="clear" w:color="auto" w:fill="FFFFFF"/>
              </w:rPr>
            </w:pPr>
            <w:r w:rsidRPr="00C4542A">
              <w:rPr>
                <w:sz w:val="20"/>
                <w:szCs w:val="20"/>
                <w:shd w:val="clear" w:color="auto" w:fill="FFFFFF"/>
              </w:rPr>
              <w:t>45.000.000,00</w:t>
            </w:r>
          </w:p>
        </w:tc>
      </w:tr>
      <w:tr w:rsidR="00904D6A" w:rsidRPr="00C4542A" w:rsidTr="00E47E8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904D6A" w:rsidRPr="00C4542A" w:rsidRDefault="00320AEF" w:rsidP="00133439">
            <w:pPr>
              <w:snapToGrid w:val="0"/>
              <w:rPr>
                <w:sz w:val="20"/>
                <w:szCs w:val="20"/>
              </w:rPr>
            </w:pPr>
            <w:r w:rsidRPr="00C4542A">
              <w:rPr>
                <w:sz w:val="20"/>
                <w:szCs w:val="20"/>
              </w:rPr>
              <w:t xml:space="preserve">Převod uspořených </w:t>
            </w:r>
            <w:r w:rsidR="00AF42ED" w:rsidRPr="00C4542A">
              <w:rPr>
                <w:sz w:val="20"/>
                <w:szCs w:val="20"/>
              </w:rPr>
              <w:t>fin</w:t>
            </w:r>
            <w:r w:rsidR="00AF42ED">
              <w:rPr>
                <w:sz w:val="20"/>
                <w:szCs w:val="20"/>
              </w:rPr>
              <w:t>ančních</w:t>
            </w:r>
            <w:r w:rsidR="00AF42ED" w:rsidRPr="00C4542A">
              <w:rPr>
                <w:sz w:val="20"/>
                <w:szCs w:val="20"/>
              </w:rPr>
              <w:t xml:space="preserve"> prostř</w:t>
            </w:r>
            <w:r w:rsidR="00AF42ED">
              <w:rPr>
                <w:sz w:val="20"/>
                <w:szCs w:val="20"/>
              </w:rPr>
              <w:t xml:space="preserve">edků </w:t>
            </w:r>
            <w:r w:rsidRPr="00C4542A">
              <w:rPr>
                <w:sz w:val="20"/>
                <w:szCs w:val="20"/>
              </w:rPr>
              <w:t xml:space="preserve">z investiční rezervy do </w:t>
            </w:r>
            <w:r w:rsidR="00133439">
              <w:rPr>
                <w:sz w:val="20"/>
                <w:szCs w:val="20"/>
              </w:rPr>
              <w:t>fondu</w:t>
            </w:r>
            <w:r w:rsidRPr="00C4542A">
              <w:rPr>
                <w:sz w:val="20"/>
                <w:szCs w:val="20"/>
              </w:rPr>
              <w:t xml:space="preserve"> (</w:t>
            </w:r>
            <w:r w:rsidR="00AF42ED" w:rsidRPr="00C4542A">
              <w:rPr>
                <w:sz w:val="20"/>
                <w:szCs w:val="20"/>
              </w:rPr>
              <w:t>nerealiz</w:t>
            </w:r>
            <w:r w:rsidR="00AF42ED">
              <w:rPr>
                <w:sz w:val="20"/>
                <w:szCs w:val="20"/>
              </w:rPr>
              <w:t>ované</w:t>
            </w:r>
            <w:r w:rsidR="00AF42ED" w:rsidRPr="00C4542A">
              <w:rPr>
                <w:sz w:val="20"/>
                <w:szCs w:val="20"/>
              </w:rPr>
              <w:t xml:space="preserve"> stav</w:t>
            </w:r>
            <w:r w:rsidR="00AF42ED">
              <w:rPr>
                <w:sz w:val="20"/>
                <w:szCs w:val="20"/>
              </w:rPr>
              <w:t>ební</w:t>
            </w:r>
            <w:r w:rsidR="00AF42ED" w:rsidRPr="00C4542A">
              <w:rPr>
                <w:sz w:val="20"/>
                <w:szCs w:val="20"/>
              </w:rPr>
              <w:t xml:space="preserve"> akc</w:t>
            </w:r>
            <w:r w:rsidR="00AF42ED">
              <w:rPr>
                <w:sz w:val="20"/>
                <w:szCs w:val="20"/>
              </w:rPr>
              <w:t>e</w:t>
            </w:r>
            <w:r w:rsidRPr="00C4542A">
              <w:rPr>
                <w:sz w:val="20"/>
                <w:szCs w:val="20"/>
              </w:rPr>
              <w:t>)</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4D6A" w:rsidRPr="00C4542A" w:rsidRDefault="00320AEF" w:rsidP="00E47E87">
            <w:pPr>
              <w:snapToGrid w:val="0"/>
              <w:jc w:val="right"/>
              <w:rPr>
                <w:sz w:val="20"/>
                <w:szCs w:val="20"/>
                <w:shd w:val="clear" w:color="auto" w:fill="FFFFFF"/>
              </w:rPr>
            </w:pPr>
            <w:r w:rsidRPr="00C4542A">
              <w:rPr>
                <w:sz w:val="20"/>
                <w:szCs w:val="20"/>
                <w:shd w:val="clear" w:color="auto" w:fill="FFFFFF"/>
              </w:rPr>
              <w:t>25.000.000,00</w:t>
            </w:r>
          </w:p>
        </w:tc>
      </w:tr>
      <w:tr w:rsidR="00C77067" w:rsidRPr="00DA1EE4" w:rsidTr="00E47E87">
        <w:trPr>
          <w:trHeight w:val="418"/>
        </w:trPr>
        <w:tc>
          <w:tcPr>
            <w:tcW w:w="7371" w:type="dxa"/>
            <w:tcBorders>
              <w:top w:val="single" w:sz="4" w:space="0" w:color="000000"/>
              <w:left w:val="single" w:sz="4" w:space="0" w:color="000000"/>
              <w:bottom w:val="single" w:sz="4" w:space="0" w:color="000000"/>
            </w:tcBorders>
            <w:shd w:val="clear" w:color="auto" w:fill="EEECE1"/>
            <w:vAlign w:val="center"/>
          </w:tcPr>
          <w:p w:rsidR="00C77067" w:rsidRPr="00DA1EE4" w:rsidRDefault="007608EA" w:rsidP="00DA1EE4">
            <w:pPr>
              <w:snapToGrid w:val="0"/>
              <w:rPr>
                <w:b/>
                <w:sz w:val="22"/>
                <w:szCs w:val="22"/>
              </w:rPr>
            </w:pPr>
            <w:r w:rsidRPr="00DA1EE4">
              <w:rPr>
                <w:b/>
                <w:sz w:val="22"/>
                <w:szCs w:val="22"/>
              </w:rPr>
              <w:t>Stav fondu k 31.12.2013</w:t>
            </w:r>
          </w:p>
        </w:tc>
        <w:tc>
          <w:tcPr>
            <w:tcW w:w="170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C77067" w:rsidRPr="00DA1EE4" w:rsidRDefault="00C77067" w:rsidP="00947379">
            <w:pPr>
              <w:snapToGrid w:val="0"/>
              <w:jc w:val="right"/>
              <w:rPr>
                <w:b/>
                <w:sz w:val="22"/>
                <w:szCs w:val="22"/>
              </w:rPr>
            </w:pPr>
            <w:r w:rsidRPr="00DA1EE4">
              <w:rPr>
                <w:b/>
                <w:sz w:val="22"/>
                <w:szCs w:val="22"/>
              </w:rPr>
              <w:t>47</w:t>
            </w:r>
            <w:r w:rsidR="00947379" w:rsidRPr="00DA1EE4">
              <w:rPr>
                <w:b/>
                <w:sz w:val="22"/>
                <w:szCs w:val="22"/>
              </w:rPr>
              <w:t>6.</w:t>
            </w:r>
            <w:r w:rsidRPr="00DA1EE4">
              <w:rPr>
                <w:b/>
                <w:sz w:val="22"/>
                <w:szCs w:val="22"/>
              </w:rPr>
              <w:t>818.428,01</w:t>
            </w:r>
          </w:p>
        </w:tc>
      </w:tr>
    </w:tbl>
    <w:p w:rsidR="00C77067" w:rsidRDefault="00C77067" w:rsidP="00C77067">
      <w:pPr>
        <w:rPr>
          <w:sz w:val="20"/>
          <w:szCs w:val="20"/>
        </w:rPr>
      </w:pPr>
    </w:p>
    <w:p w:rsidR="00C923FA" w:rsidRDefault="00CB07CF" w:rsidP="001050A2">
      <w:pPr>
        <w:jc w:val="both"/>
        <w:rPr>
          <w:sz w:val="22"/>
          <w:szCs w:val="22"/>
        </w:rPr>
      </w:pPr>
      <w:r>
        <w:rPr>
          <w:sz w:val="22"/>
          <w:szCs w:val="22"/>
        </w:rPr>
        <w:t xml:space="preserve">Do </w:t>
      </w:r>
      <w:r w:rsidR="001517C8">
        <w:rPr>
          <w:sz w:val="22"/>
          <w:szCs w:val="22"/>
        </w:rPr>
        <w:t xml:space="preserve">schválené </w:t>
      </w:r>
      <w:r w:rsidR="00A56779">
        <w:rPr>
          <w:sz w:val="22"/>
          <w:szCs w:val="22"/>
        </w:rPr>
        <w:t>rozpočtu na rok 201</w:t>
      </w:r>
      <w:r w:rsidR="001517C8">
        <w:rPr>
          <w:sz w:val="22"/>
          <w:szCs w:val="22"/>
        </w:rPr>
        <w:t>3</w:t>
      </w:r>
      <w:r>
        <w:rPr>
          <w:sz w:val="22"/>
          <w:szCs w:val="22"/>
        </w:rPr>
        <w:t xml:space="preserve"> byly zapojeny</w:t>
      </w:r>
      <w:r w:rsidR="00C9349F">
        <w:rPr>
          <w:sz w:val="22"/>
          <w:szCs w:val="22"/>
        </w:rPr>
        <w:t xml:space="preserve"> z fondu rezerv a rozvoje </w:t>
      </w:r>
      <w:r>
        <w:rPr>
          <w:sz w:val="22"/>
          <w:szCs w:val="22"/>
        </w:rPr>
        <w:t xml:space="preserve">finanční prostředky </w:t>
      </w:r>
      <w:r w:rsidR="00DE2F8A" w:rsidRPr="00F20418">
        <w:rPr>
          <w:sz w:val="22"/>
          <w:szCs w:val="22"/>
        </w:rPr>
        <w:t xml:space="preserve">v celkové </w:t>
      </w:r>
      <w:r w:rsidR="005D3051" w:rsidRPr="00F20418">
        <w:rPr>
          <w:sz w:val="22"/>
          <w:szCs w:val="22"/>
        </w:rPr>
        <w:t xml:space="preserve">výši </w:t>
      </w:r>
      <w:r w:rsidR="00DE2F8A" w:rsidRPr="00F20418">
        <w:rPr>
          <w:sz w:val="22"/>
          <w:szCs w:val="22"/>
        </w:rPr>
        <w:t>7</w:t>
      </w:r>
      <w:r w:rsidR="007B1B12">
        <w:rPr>
          <w:sz w:val="22"/>
          <w:szCs w:val="22"/>
        </w:rPr>
        <w:t>0.000.000</w:t>
      </w:r>
      <w:r w:rsidR="00223A89">
        <w:rPr>
          <w:sz w:val="22"/>
          <w:szCs w:val="22"/>
        </w:rPr>
        <w:t>.V průběhu roku byly do rozpočtu zapojeny další finanční prostředky na krytí nepředvídaných výdajů jako</w:t>
      </w:r>
      <w:r w:rsidR="00D94B2A">
        <w:rPr>
          <w:sz w:val="22"/>
          <w:szCs w:val="22"/>
        </w:rPr>
        <w:t xml:space="preserve"> např.</w:t>
      </w:r>
      <w:r w:rsidR="00C9349F">
        <w:rPr>
          <w:sz w:val="22"/>
          <w:szCs w:val="22"/>
        </w:rPr>
        <w:t xml:space="preserve"> odstraňování následků škod po povodni</w:t>
      </w:r>
      <w:r w:rsidR="00D94B2A">
        <w:rPr>
          <w:sz w:val="22"/>
          <w:szCs w:val="22"/>
        </w:rPr>
        <w:t xml:space="preserve"> v</w:t>
      </w:r>
      <w:r w:rsidR="00A8232C">
        <w:rPr>
          <w:sz w:val="22"/>
          <w:szCs w:val="22"/>
        </w:rPr>
        <w:t> </w:t>
      </w:r>
      <w:r w:rsidR="00D94B2A">
        <w:rPr>
          <w:sz w:val="22"/>
          <w:szCs w:val="22"/>
        </w:rPr>
        <w:t>parcích</w:t>
      </w:r>
      <w:r w:rsidR="00A8232C">
        <w:rPr>
          <w:sz w:val="22"/>
          <w:szCs w:val="22"/>
        </w:rPr>
        <w:t>,</w:t>
      </w:r>
      <w:r w:rsidR="00AA76C9">
        <w:rPr>
          <w:sz w:val="22"/>
          <w:szCs w:val="22"/>
        </w:rPr>
        <w:t xml:space="preserve"> </w:t>
      </w:r>
      <w:r w:rsidR="00D94B2A">
        <w:rPr>
          <w:sz w:val="22"/>
          <w:szCs w:val="22"/>
        </w:rPr>
        <w:t xml:space="preserve">výdaje na akci </w:t>
      </w:r>
      <w:r w:rsidR="00C9349F" w:rsidRPr="00CE5E68">
        <w:rPr>
          <w:sz w:val="22"/>
          <w:szCs w:val="22"/>
        </w:rPr>
        <w:t>„Revitalizace objektu Pod Žvahovem pro účely užívání nájemcem Taneční centrum Praha</w:t>
      </w:r>
      <w:r w:rsidR="00AF42ED">
        <w:rPr>
          <w:sz w:val="22"/>
          <w:szCs w:val="22"/>
        </w:rPr>
        <w:t>“</w:t>
      </w:r>
      <w:r w:rsidR="00C9349F">
        <w:rPr>
          <w:sz w:val="22"/>
          <w:szCs w:val="22"/>
        </w:rPr>
        <w:t>,</w:t>
      </w:r>
      <w:r w:rsidR="00C9349F" w:rsidRPr="00C9349F">
        <w:rPr>
          <w:sz w:val="22"/>
          <w:szCs w:val="22"/>
        </w:rPr>
        <w:t xml:space="preserve"> </w:t>
      </w:r>
      <w:r w:rsidR="00D94B2A">
        <w:rPr>
          <w:sz w:val="22"/>
          <w:szCs w:val="22"/>
        </w:rPr>
        <w:t>na dočasné financování</w:t>
      </w:r>
      <w:r w:rsidR="00AA76C9">
        <w:rPr>
          <w:sz w:val="22"/>
          <w:szCs w:val="22"/>
        </w:rPr>
        <w:t xml:space="preserve"> </w:t>
      </w:r>
      <w:r w:rsidR="00D94B2A">
        <w:rPr>
          <w:sz w:val="22"/>
          <w:szCs w:val="22"/>
        </w:rPr>
        <w:t>projektů -</w:t>
      </w:r>
      <w:r w:rsidR="00AA76C9">
        <w:rPr>
          <w:sz w:val="22"/>
          <w:szCs w:val="22"/>
        </w:rPr>
        <w:t xml:space="preserve"> </w:t>
      </w:r>
      <w:r w:rsidR="00D94B2A">
        <w:rPr>
          <w:sz w:val="22"/>
          <w:szCs w:val="22"/>
        </w:rPr>
        <w:t>snížení energetické náročnosti ZŠ a MŠ</w:t>
      </w:r>
      <w:r w:rsidR="00AA76C9">
        <w:rPr>
          <w:sz w:val="22"/>
          <w:szCs w:val="22"/>
        </w:rPr>
        <w:t xml:space="preserve"> </w:t>
      </w:r>
      <w:r w:rsidR="00D94B2A">
        <w:rPr>
          <w:sz w:val="22"/>
          <w:szCs w:val="22"/>
        </w:rPr>
        <w:t>a další</w:t>
      </w:r>
      <w:r w:rsidR="001050A2">
        <w:rPr>
          <w:sz w:val="22"/>
          <w:szCs w:val="22"/>
        </w:rPr>
        <w:t xml:space="preserve">ch akcí. </w:t>
      </w:r>
    </w:p>
    <w:p w:rsidR="003A61B4" w:rsidRDefault="003A61B4" w:rsidP="001050A2">
      <w:pPr>
        <w:jc w:val="both"/>
        <w:rPr>
          <w:sz w:val="22"/>
          <w:szCs w:val="22"/>
        </w:rPr>
      </w:pPr>
    </w:p>
    <w:p w:rsidR="00C9349F" w:rsidRDefault="001050A2" w:rsidP="001050A2">
      <w:pPr>
        <w:jc w:val="both"/>
        <w:rPr>
          <w:sz w:val="22"/>
          <w:szCs w:val="22"/>
        </w:rPr>
      </w:pPr>
      <w:r>
        <w:rPr>
          <w:sz w:val="22"/>
          <w:szCs w:val="22"/>
        </w:rPr>
        <w:t>Po přijetí transferu z</w:t>
      </w:r>
      <w:r w:rsidR="000A07B7">
        <w:rPr>
          <w:sz w:val="22"/>
          <w:szCs w:val="22"/>
        </w:rPr>
        <w:t> </w:t>
      </w:r>
      <w:r>
        <w:rPr>
          <w:sz w:val="22"/>
          <w:szCs w:val="22"/>
        </w:rPr>
        <w:t>MHMP</w:t>
      </w:r>
      <w:r w:rsidR="000A07B7">
        <w:rPr>
          <w:sz w:val="22"/>
          <w:szCs w:val="22"/>
        </w:rPr>
        <w:t>,</w:t>
      </w:r>
      <w:r>
        <w:rPr>
          <w:sz w:val="22"/>
          <w:szCs w:val="22"/>
        </w:rPr>
        <w:t xml:space="preserve"> vratky 100 % podílu MČ na celkové daňové povinnosti na dani z příjmů za zdaňovací období roku 2012</w:t>
      </w:r>
      <w:r w:rsidR="00D94B2A">
        <w:rPr>
          <w:sz w:val="22"/>
          <w:szCs w:val="22"/>
        </w:rPr>
        <w:t xml:space="preserve"> </w:t>
      </w:r>
      <w:r>
        <w:rPr>
          <w:sz w:val="22"/>
          <w:szCs w:val="22"/>
        </w:rPr>
        <w:t xml:space="preserve">došlo k záměně zdrojového krytí a finanční prostředky byly </w:t>
      </w:r>
      <w:r w:rsidR="00223A89">
        <w:rPr>
          <w:sz w:val="22"/>
          <w:szCs w:val="22"/>
        </w:rPr>
        <w:t xml:space="preserve">částečně </w:t>
      </w:r>
      <w:r>
        <w:rPr>
          <w:sz w:val="22"/>
          <w:szCs w:val="22"/>
        </w:rPr>
        <w:t>vráceny zpět do fondu rezerv a rozvoje</w:t>
      </w:r>
      <w:r w:rsidR="00261979">
        <w:rPr>
          <w:sz w:val="22"/>
          <w:szCs w:val="22"/>
        </w:rPr>
        <w:t>, čímž došlo k úpravě třídy 8 – financování. Finanční prostře</w:t>
      </w:r>
      <w:r w:rsidR="00261979">
        <w:rPr>
          <w:sz w:val="22"/>
          <w:szCs w:val="22"/>
        </w:rPr>
        <w:t>d</w:t>
      </w:r>
      <w:r w:rsidR="00261979">
        <w:rPr>
          <w:sz w:val="22"/>
          <w:szCs w:val="22"/>
        </w:rPr>
        <w:t xml:space="preserve">ky, které byly převedeny ve skutečnosti na základě předložených faktur v celkové výši </w:t>
      </w:r>
      <w:r w:rsidR="00223A89" w:rsidRPr="006667DE">
        <w:rPr>
          <w:sz w:val="22"/>
          <w:szCs w:val="22"/>
          <w:shd w:val="clear" w:color="auto" w:fill="FFFFFF"/>
        </w:rPr>
        <w:t>18.252.393,35</w:t>
      </w:r>
      <w:r w:rsidR="005E1108">
        <w:rPr>
          <w:sz w:val="20"/>
          <w:szCs w:val="20"/>
          <w:shd w:val="clear" w:color="auto" w:fill="FFFFFF"/>
        </w:rPr>
        <w:t> </w:t>
      </w:r>
      <w:r w:rsidR="005E1108" w:rsidRPr="006667DE">
        <w:rPr>
          <w:sz w:val="22"/>
          <w:szCs w:val="22"/>
          <w:shd w:val="clear" w:color="auto" w:fill="FFFFFF"/>
        </w:rPr>
        <w:t>Kč</w:t>
      </w:r>
      <w:r w:rsidR="00223A89">
        <w:rPr>
          <w:sz w:val="20"/>
          <w:szCs w:val="20"/>
          <w:shd w:val="clear" w:color="auto" w:fill="FFFFFF"/>
        </w:rPr>
        <w:t xml:space="preserve"> </w:t>
      </w:r>
      <w:r w:rsidR="00261979">
        <w:rPr>
          <w:sz w:val="22"/>
          <w:szCs w:val="22"/>
        </w:rPr>
        <w:t>a připsány na základní běžný účet, byly po přijetí transferu, převedeny zpět do fo</w:t>
      </w:r>
      <w:r w:rsidR="00261979">
        <w:rPr>
          <w:sz w:val="22"/>
          <w:szCs w:val="22"/>
        </w:rPr>
        <w:t>n</w:t>
      </w:r>
      <w:r w:rsidR="00261979">
        <w:rPr>
          <w:sz w:val="22"/>
          <w:szCs w:val="22"/>
        </w:rPr>
        <w:t>du rezerv a rozvoje.</w:t>
      </w:r>
      <w:r w:rsidR="00AA76C9">
        <w:rPr>
          <w:sz w:val="22"/>
          <w:szCs w:val="22"/>
        </w:rPr>
        <w:t xml:space="preserve"> </w:t>
      </w:r>
    </w:p>
    <w:p w:rsidR="00261979" w:rsidRDefault="00261979" w:rsidP="00D71C47">
      <w:pPr>
        <w:jc w:val="both"/>
        <w:rPr>
          <w:sz w:val="22"/>
          <w:szCs w:val="22"/>
        </w:rPr>
      </w:pPr>
    </w:p>
    <w:p w:rsidR="00397EC0" w:rsidRDefault="00F530E1" w:rsidP="00D71C47">
      <w:pPr>
        <w:jc w:val="both"/>
        <w:rPr>
          <w:sz w:val="22"/>
          <w:szCs w:val="22"/>
        </w:rPr>
      </w:pPr>
      <w:r w:rsidRPr="00F20418">
        <w:rPr>
          <w:sz w:val="22"/>
          <w:szCs w:val="22"/>
        </w:rPr>
        <w:t xml:space="preserve">Usnesením ZMČ č. </w:t>
      </w:r>
      <w:r w:rsidR="00C9349F">
        <w:rPr>
          <w:sz w:val="22"/>
          <w:szCs w:val="22"/>
        </w:rPr>
        <w:t>22/2</w:t>
      </w:r>
      <w:r w:rsidR="003C282D">
        <w:rPr>
          <w:sz w:val="22"/>
          <w:szCs w:val="22"/>
        </w:rPr>
        <w:t>/201</w:t>
      </w:r>
      <w:r w:rsidR="00C9349F">
        <w:rPr>
          <w:sz w:val="22"/>
          <w:szCs w:val="22"/>
        </w:rPr>
        <w:t>3</w:t>
      </w:r>
      <w:r w:rsidR="003C282D">
        <w:rPr>
          <w:sz w:val="22"/>
          <w:szCs w:val="22"/>
        </w:rPr>
        <w:t xml:space="preserve"> ze dne </w:t>
      </w:r>
      <w:r w:rsidR="00C9349F">
        <w:rPr>
          <w:sz w:val="22"/>
          <w:szCs w:val="22"/>
        </w:rPr>
        <w:t>7.</w:t>
      </w:r>
      <w:r w:rsidR="006667DE">
        <w:rPr>
          <w:sz w:val="22"/>
          <w:szCs w:val="22"/>
        </w:rPr>
        <w:t xml:space="preserve"> </w:t>
      </w:r>
      <w:r w:rsidR="00C9349F">
        <w:rPr>
          <w:sz w:val="22"/>
          <w:szCs w:val="22"/>
        </w:rPr>
        <w:t>2.</w:t>
      </w:r>
      <w:r w:rsidR="006667DE">
        <w:rPr>
          <w:sz w:val="22"/>
          <w:szCs w:val="22"/>
        </w:rPr>
        <w:t xml:space="preserve"> </w:t>
      </w:r>
      <w:r w:rsidR="00C9349F">
        <w:rPr>
          <w:sz w:val="22"/>
          <w:szCs w:val="22"/>
        </w:rPr>
        <w:t>2013</w:t>
      </w:r>
      <w:r w:rsidR="003C282D">
        <w:rPr>
          <w:sz w:val="22"/>
          <w:szCs w:val="22"/>
        </w:rPr>
        <w:t xml:space="preserve"> byl schválen převod finančních prostředků z účtu zdaňované činnosti městské části (nerozdělený zisk z minulých let) do fondu </w:t>
      </w:r>
      <w:r w:rsidR="0068601D">
        <w:rPr>
          <w:sz w:val="22"/>
          <w:szCs w:val="22"/>
        </w:rPr>
        <w:t>ve výši 100</w:t>
      </w:r>
      <w:r w:rsidR="006667DE">
        <w:rPr>
          <w:sz w:val="22"/>
          <w:szCs w:val="22"/>
        </w:rPr>
        <w:t xml:space="preserve"> mil.</w:t>
      </w:r>
      <w:r w:rsidR="005E1108">
        <w:rPr>
          <w:sz w:val="22"/>
          <w:szCs w:val="22"/>
        </w:rPr>
        <w:t> Kč</w:t>
      </w:r>
      <w:r w:rsidR="0068601D">
        <w:rPr>
          <w:sz w:val="22"/>
          <w:szCs w:val="22"/>
        </w:rPr>
        <w:t xml:space="preserve"> a tento převod byl proveden.</w:t>
      </w:r>
    </w:p>
    <w:p w:rsidR="007C68CA" w:rsidRDefault="007C68CA" w:rsidP="00D71C47">
      <w:pPr>
        <w:jc w:val="both"/>
        <w:rPr>
          <w:sz w:val="22"/>
          <w:szCs w:val="22"/>
        </w:rPr>
      </w:pPr>
    </w:p>
    <w:p w:rsidR="00941ADA" w:rsidRDefault="00941ADA" w:rsidP="009C1277">
      <w:pPr>
        <w:pStyle w:val="Nadpis3"/>
      </w:pPr>
      <w:bookmarkStart w:id="41" w:name="_Toc385875222"/>
      <w:r>
        <w:t>F</w:t>
      </w:r>
      <w:r w:rsidR="00162CE1">
        <w:t>ond ekologie</w:t>
      </w:r>
      <w:bookmarkEnd w:id="41"/>
    </w:p>
    <w:p w:rsidR="00DE1591" w:rsidRPr="00DE1591" w:rsidRDefault="00DE1591" w:rsidP="00F00B17">
      <w:pPr>
        <w:jc w:val="both"/>
        <w:rPr>
          <w:sz w:val="22"/>
          <w:szCs w:val="22"/>
        </w:rPr>
      </w:pPr>
      <w:r w:rsidRPr="00DE1591">
        <w:rPr>
          <w:sz w:val="22"/>
          <w:szCs w:val="22"/>
        </w:rPr>
        <w:t>Fond ekologie je určen k</w:t>
      </w:r>
      <w:r w:rsidR="00F00B17">
        <w:rPr>
          <w:sz w:val="22"/>
          <w:szCs w:val="22"/>
        </w:rPr>
        <w:t xml:space="preserve"> financování nerozpočtovaných výdajů souvisejících s ochranou životního </w:t>
      </w:r>
      <w:proofErr w:type="gramStart"/>
      <w:r w:rsidR="00F00B17">
        <w:rPr>
          <w:sz w:val="22"/>
          <w:szCs w:val="22"/>
        </w:rPr>
        <w:t>prostředí</w:t>
      </w:r>
      <w:r w:rsidRPr="00DE1591">
        <w:rPr>
          <w:sz w:val="22"/>
          <w:szCs w:val="22"/>
        </w:rPr>
        <w:t xml:space="preserve"> . Na</w:t>
      </w:r>
      <w:proofErr w:type="gramEnd"/>
      <w:r w:rsidRPr="00DE1591">
        <w:rPr>
          <w:sz w:val="22"/>
          <w:szCs w:val="22"/>
        </w:rPr>
        <w:t xml:space="preserve"> fondu</w:t>
      </w:r>
      <w:r>
        <w:rPr>
          <w:sz w:val="22"/>
          <w:szCs w:val="22"/>
        </w:rPr>
        <w:t xml:space="preserve"> nebyl kromě úroků a bankovních poplatků žádný pohyb.</w:t>
      </w:r>
    </w:p>
    <w:p w:rsidR="00B17061" w:rsidRPr="0004564B" w:rsidRDefault="0004564B" w:rsidP="0004564B">
      <w:pPr>
        <w:jc w:val="right"/>
        <w:rPr>
          <w:sz w:val="18"/>
          <w:szCs w:val="18"/>
        </w:rPr>
      </w:pPr>
      <w:r w:rsidRPr="0004564B">
        <w:rPr>
          <w:sz w:val="18"/>
          <w:szCs w:val="18"/>
        </w:rPr>
        <w:t>v Kč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559"/>
      </w:tblGrid>
      <w:tr w:rsidR="00655BE8" w:rsidRPr="00C4542A" w:rsidTr="008D597B">
        <w:trPr>
          <w:trHeight w:val="330"/>
        </w:trPr>
        <w:tc>
          <w:tcPr>
            <w:tcW w:w="7513" w:type="dxa"/>
            <w:shd w:val="clear" w:color="auto" w:fill="EEECE1"/>
            <w:vAlign w:val="center"/>
          </w:tcPr>
          <w:p w:rsidR="00655BE8" w:rsidRPr="00C4542A" w:rsidRDefault="00655BE8" w:rsidP="008640DA">
            <w:pPr>
              <w:rPr>
                <w:b/>
                <w:sz w:val="20"/>
                <w:szCs w:val="20"/>
              </w:rPr>
            </w:pPr>
            <w:r w:rsidRPr="00C4542A">
              <w:rPr>
                <w:b/>
                <w:sz w:val="20"/>
                <w:szCs w:val="20"/>
              </w:rPr>
              <w:t xml:space="preserve">Počáteční stav </w:t>
            </w:r>
            <w:r w:rsidR="00195109" w:rsidRPr="00C4542A">
              <w:rPr>
                <w:b/>
                <w:sz w:val="20"/>
                <w:szCs w:val="20"/>
              </w:rPr>
              <w:t xml:space="preserve">účtu </w:t>
            </w:r>
            <w:r w:rsidRPr="00C4542A">
              <w:rPr>
                <w:b/>
                <w:sz w:val="20"/>
                <w:szCs w:val="20"/>
              </w:rPr>
              <w:t>Fond ekologie k 1.1.201</w:t>
            </w:r>
            <w:r w:rsidR="008640DA" w:rsidRPr="00C4542A">
              <w:rPr>
                <w:b/>
                <w:sz w:val="20"/>
                <w:szCs w:val="20"/>
              </w:rPr>
              <w:t>3</w:t>
            </w:r>
          </w:p>
        </w:tc>
        <w:tc>
          <w:tcPr>
            <w:tcW w:w="1559" w:type="dxa"/>
            <w:shd w:val="clear" w:color="auto" w:fill="EEECE1"/>
            <w:vAlign w:val="center"/>
          </w:tcPr>
          <w:p w:rsidR="00655BE8" w:rsidRPr="00C4542A" w:rsidRDefault="00655BE8" w:rsidP="008640DA">
            <w:pPr>
              <w:jc w:val="right"/>
              <w:rPr>
                <w:b/>
                <w:sz w:val="20"/>
                <w:szCs w:val="20"/>
              </w:rPr>
            </w:pPr>
            <w:r w:rsidRPr="00C4542A">
              <w:rPr>
                <w:b/>
                <w:sz w:val="20"/>
                <w:szCs w:val="20"/>
              </w:rPr>
              <w:t>25</w:t>
            </w:r>
            <w:r w:rsidR="008640DA" w:rsidRPr="00C4542A">
              <w:rPr>
                <w:b/>
                <w:sz w:val="20"/>
                <w:szCs w:val="20"/>
              </w:rPr>
              <w:t>3.223,81</w:t>
            </w:r>
          </w:p>
        </w:tc>
      </w:tr>
      <w:tr w:rsidR="00655BE8" w:rsidRPr="00C4542A" w:rsidTr="00AD126F">
        <w:trPr>
          <w:trHeight w:val="316"/>
        </w:trPr>
        <w:tc>
          <w:tcPr>
            <w:tcW w:w="7513" w:type="dxa"/>
            <w:tcBorders>
              <w:bottom w:val="single" w:sz="4" w:space="0" w:color="auto"/>
            </w:tcBorders>
            <w:vAlign w:val="center"/>
          </w:tcPr>
          <w:p w:rsidR="00655BE8" w:rsidRPr="00C4542A" w:rsidRDefault="00655BE8" w:rsidP="00345FF7">
            <w:pPr>
              <w:rPr>
                <w:sz w:val="20"/>
                <w:szCs w:val="20"/>
              </w:rPr>
            </w:pPr>
            <w:r w:rsidRPr="00C4542A">
              <w:rPr>
                <w:sz w:val="20"/>
                <w:szCs w:val="20"/>
              </w:rPr>
              <w:t xml:space="preserve">Úroky </w:t>
            </w:r>
          </w:p>
        </w:tc>
        <w:tc>
          <w:tcPr>
            <w:tcW w:w="1559" w:type="dxa"/>
            <w:tcBorders>
              <w:bottom w:val="single" w:sz="4" w:space="0" w:color="auto"/>
            </w:tcBorders>
            <w:vAlign w:val="center"/>
          </w:tcPr>
          <w:p w:rsidR="00655BE8" w:rsidRPr="00C4542A" w:rsidRDefault="0002726F" w:rsidP="001C669B">
            <w:pPr>
              <w:jc w:val="right"/>
              <w:rPr>
                <w:sz w:val="20"/>
                <w:szCs w:val="20"/>
              </w:rPr>
            </w:pPr>
            <w:r w:rsidRPr="00C4542A">
              <w:rPr>
                <w:sz w:val="20"/>
                <w:szCs w:val="20"/>
              </w:rPr>
              <w:t>1.</w:t>
            </w:r>
            <w:r w:rsidR="001C669B" w:rsidRPr="00C4542A">
              <w:rPr>
                <w:sz w:val="20"/>
                <w:szCs w:val="20"/>
              </w:rPr>
              <w:t>280,0</w:t>
            </w:r>
          </w:p>
        </w:tc>
      </w:tr>
      <w:tr w:rsidR="00655BE8" w:rsidRPr="00C4542A" w:rsidTr="008D597B">
        <w:trPr>
          <w:trHeight w:val="256"/>
        </w:trPr>
        <w:tc>
          <w:tcPr>
            <w:tcW w:w="7513" w:type="dxa"/>
            <w:tcBorders>
              <w:bottom w:val="double" w:sz="4" w:space="0" w:color="auto"/>
            </w:tcBorders>
            <w:vAlign w:val="center"/>
          </w:tcPr>
          <w:p w:rsidR="00655BE8" w:rsidRPr="00C4542A" w:rsidRDefault="00655BE8" w:rsidP="00345FF7">
            <w:pPr>
              <w:rPr>
                <w:sz w:val="20"/>
                <w:szCs w:val="20"/>
              </w:rPr>
            </w:pPr>
            <w:r w:rsidRPr="00C4542A">
              <w:rPr>
                <w:sz w:val="20"/>
                <w:szCs w:val="20"/>
              </w:rPr>
              <w:t xml:space="preserve">Bankovní poplatky </w:t>
            </w:r>
          </w:p>
        </w:tc>
        <w:tc>
          <w:tcPr>
            <w:tcW w:w="1559" w:type="dxa"/>
            <w:tcBorders>
              <w:bottom w:val="double" w:sz="4" w:space="0" w:color="auto"/>
            </w:tcBorders>
            <w:vAlign w:val="center"/>
          </w:tcPr>
          <w:p w:rsidR="00655BE8" w:rsidRPr="00C4542A" w:rsidRDefault="0002726F" w:rsidP="00BB5023">
            <w:pPr>
              <w:jc w:val="right"/>
              <w:rPr>
                <w:sz w:val="20"/>
                <w:szCs w:val="20"/>
              </w:rPr>
            </w:pPr>
            <w:r w:rsidRPr="00C4542A">
              <w:rPr>
                <w:sz w:val="20"/>
                <w:szCs w:val="20"/>
              </w:rPr>
              <w:t>-774,00</w:t>
            </w:r>
          </w:p>
        </w:tc>
      </w:tr>
      <w:tr w:rsidR="009773CE" w:rsidRPr="00C4542A" w:rsidTr="00D90033">
        <w:trPr>
          <w:trHeight w:val="256"/>
        </w:trPr>
        <w:tc>
          <w:tcPr>
            <w:tcW w:w="7513" w:type="dxa"/>
            <w:tcBorders>
              <w:top w:val="double" w:sz="4" w:space="0" w:color="auto"/>
              <w:bottom w:val="double" w:sz="4" w:space="0" w:color="auto"/>
            </w:tcBorders>
            <w:shd w:val="clear" w:color="auto" w:fill="EEECE1"/>
            <w:vAlign w:val="center"/>
          </w:tcPr>
          <w:p w:rsidR="009773CE" w:rsidRPr="00C4542A" w:rsidRDefault="009773CE" w:rsidP="001C669B">
            <w:pPr>
              <w:rPr>
                <w:b/>
                <w:sz w:val="20"/>
                <w:szCs w:val="20"/>
              </w:rPr>
            </w:pPr>
            <w:r w:rsidRPr="00C4542A">
              <w:rPr>
                <w:b/>
                <w:sz w:val="20"/>
                <w:szCs w:val="20"/>
              </w:rPr>
              <w:t xml:space="preserve">Stav </w:t>
            </w:r>
            <w:r w:rsidR="00AC3D07" w:rsidRPr="00C4542A">
              <w:rPr>
                <w:b/>
                <w:sz w:val="20"/>
                <w:szCs w:val="20"/>
              </w:rPr>
              <w:t>F</w:t>
            </w:r>
            <w:r w:rsidRPr="00C4542A">
              <w:rPr>
                <w:b/>
                <w:sz w:val="20"/>
                <w:szCs w:val="20"/>
              </w:rPr>
              <w:t>ondu ekologie k 31.12.201</w:t>
            </w:r>
            <w:r w:rsidR="001C669B" w:rsidRPr="00C4542A">
              <w:rPr>
                <w:b/>
                <w:sz w:val="20"/>
                <w:szCs w:val="20"/>
              </w:rPr>
              <w:t>3</w:t>
            </w:r>
          </w:p>
        </w:tc>
        <w:tc>
          <w:tcPr>
            <w:tcW w:w="1559" w:type="dxa"/>
            <w:tcBorders>
              <w:top w:val="double" w:sz="4" w:space="0" w:color="auto"/>
              <w:bottom w:val="double" w:sz="4" w:space="0" w:color="auto"/>
            </w:tcBorders>
            <w:shd w:val="clear" w:color="auto" w:fill="EEECE1"/>
            <w:vAlign w:val="center"/>
          </w:tcPr>
          <w:p w:rsidR="009773CE" w:rsidRPr="00C4542A" w:rsidRDefault="0002726F" w:rsidP="001C669B">
            <w:pPr>
              <w:jc w:val="right"/>
              <w:rPr>
                <w:b/>
                <w:sz w:val="20"/>
                <w:szCs w:val="20"/>
              </w:rPr>
            </w:pPr>
            <w:r w:rsidRPr="00C4542A">
              <w:rPr>
                <w:b/>
                <w:sz w:val="20"/>
                <w:szCs w:val="20"/>
              </w:rPr>
              <w:t>253.</w:t>
            </w:r>
            <w:r w:rsidR="001C669B" w:rsidRPr="00C4542A">
              <w:rPr>
                <w:b/>
                <w:sz w:val="20"/>
                <w:szCs w:val="20"/>
              </w:rPr>
              <w:t>729,81</w:t>
            </w:r>
          </w:p>
        </w:tc>
      </w:tr>
    </w:tbl>
    <w:p w:rsidR="00EC3A8A" w:rsidRDefault="00EC3A8A" w:rsidP="000E05DC">
      <w:pPr>
        <w:rPr>
          <w:sz w:val="22"/>
          <w:szCs w:val="22"/>
        </w:rPr>
      </w:pPr>
    </w:p>
    <w:p w:rsidR="000E05DC" w:rsidRDefault="000E05DC" w:rsidP="009C1277">
      <w:pPr>
        <w:pStyle w:val="Nadpis3"/>
      </w:pPr>
      <w:bookmarkStart w:id="42" w:name="_Toc385875223"/>
      <w:r w:rsidRPr="00257B09">
        <w:t>S</w:t>
      </w:r>
      <w:r w:rsidR="00162CE1">
        <w:t>ociální fond</w:t>
      </w:r>
      <w:bookmarkEnd w:id="42"/>
    </w:p>
    <w:p w:rsidR="00CD7F4C" w:rsidRPr="00CD7F4C" w:rsidRDefault="00CD7F4C" w:rsidP="00CD7F4C">
      <w:pPr>
        <w:jc w:val="both"/>
        <w:rPr>
          <w:sz w:val="22"/>
          <w:szCs w:val="22"/>
        </w:rPr>
      </w:pPr>
      <w:r w:rsidRPr="00CD7F4C">
        <w:rPr>
          <w:sz w:val="22"/>
          <w:szCs w:val="22"/>
        </w:rPr>
        <w:t xml:space="preserve">Sociální fond je určen k financování </w:t>
      </w:r>
      <w:r>
        <w:rPr>
          <w:sz w:val="22"/>
          <w:szCs w:val="22"/>
        </w:rPr>
        <w:t>sociálních potřeb zaměstnanců a uvolněných zastupitelů v oblasti rekreace, závodního stravování, půjček a výpomocí i jiným účelům schválených v Zásadách použití fondu.</w:t>
      </w:r>
    </w:p>
    <w:p w:rsidR="0004564B" w:rsidRPr="0004564B" w:rsidRDefault="0004564B" w:rsidP="0004564B">
      <w:pPr>
        <w:jc w:val="right"/>
        <w:rPr>
          <w:sz w:val="18"/>
          <w:szCs w:val="18"/>
        </w:rPr>
      </w:pPr>
      <w:r w:rsidRPr="0004564B">
        <w:rPr>
          <w:sz w:val="18"/>
          <w:szCs w:val="18"/>
        </w:rPr>
        <w:t>v Kč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559"/>
      </w:tblGrid>
      <w:tr w:rsidR="00EF0066" w:rsidRPr="00C4542A" w:rsidTr="008D597B">
        <w:trPr>
          <w:trHeight w:val="384"/>
        </w:trPr>
        <w:tc>
          <w:tcPr>
            <w:tcW w:w="7513" w:type="dxa"/>
            <w:shd w:val="clear" w:color="auto" w:fill="EEECE1"/>
            <w:vAlign w:val="center"/>
          </w:tcPr>
          <w:p w:rsidR="005B3797" w:rsidRPr="00C4542A" w:rsidRDefault="005B3797" w:rsidP="00133439">
            <w:pPr>
              <w:rPr>
                <w:b/>
                <w:sz w:val="20"/>
                <w:szCs w:val="20"/>
              </w:rPr>
            </w:pPr>
            <w:r w:rsidRPr="00C4542A">
              <w:rPr>
                <w:b/>
                <w:sz w:val="20"/>
                <w:szCs w:val="20"/>
              </w:rPr>
              <w:t xml:space="preserve">Počáteční stav </w:t>
            </w:r>
            <w:r w:rsidR="00FF37BC" w:rsidRPr="00C4542A">
              <w:rPr>
                <w:b/>
                <w:sz w:val="20"/>
                <w:szCs w:val="20"/>
              </w:rPr>
              <w:t>Sociální</w:t>
            </w:r>
            <w:r w:rsidR="00133439">
              <w:rPr>
                <w:b/>
                <w:sz w:val="20"/>
                <w:szCs w:val="20"/>
              </w:rPr>
              <w:t>ho</w:t>
            </w:r>
            <w:r w:rsidR="00FF37BC" w:rsidRPr="00C4542A">
              <w:rPr>
                <w:b/>
                <w:sz w:val="20"/>
                <w:szCs w:val="20"/>
              </w:rPr>
              <w:t xml:space="preserve"> fond</w:t>
            </w:r>
            <w:r w:rsidR="00133439">
              <w:rPr>
                <w:b/>
                <w:sz w:val="20"/>
                <w:szCs w:val="20"/>
              </w:rPr>
              <w:t>u</w:t>
            </w:r>
            <w:r w:rsidR="00FF37BC" w:rsidRPr="00C4542A">
              <w:rPr>
                <w:b/>
                <w:sz w:val="20"/>
                <w:szCs w:val="20"/>
              </w:rPr>
              <w:t xml:space="preserve"> </w:t>
            </w:r>
            <w:r w:rsidRPr="00C4542A">
              <w:rPr>
                <w:b/>
                <w:sz w:val="20"/>
                <w:szCs w:val="20"/>
              </w:rPr>
              <w:t>k 1.</w:t>
            </w:r>
            <w:r w:rsidR="00CD7F4C">
              <w:rPr>
                <w:b/>
                <w:sz w:val="20"/>
                <w:szCs w:val="20"/>
              </w:rPr>
              <w:t xml:space="preserve"> </w:t>
            </w:r>
            <w:r w:rsidRPr="00C4542A">
              <w:rPr>
                <w:b/>
                <w:sz w:val="20"/>
                <w:szCs w:val="20"/>
              </w:rPr>
              <w:t>1.</w:t>
            </w:r>
            <w:r w:rsidR="00CD7F4C">
              <w:rPr>
                <w:b/>
                <w:sz w:val="20"/>
                <w:szCs w:val="20"/>
              </w:rPr>
              <w:t xml:space="preserve"> </w:t>
            </w:r>
            <w:r w:rsidRPr="00C4542A">
              <w:rPr>
                <w:b/>
                <w:sz w:val="20"/>
                <w:szCs w:val="20"/>
              </w:rPr>
              <w:t>201</w:t>
            </w:r>
            <w:r w:rsidR="00601A2E" w:rsidRPr="00C4542A">
              <w:rPr>
                <w:b/>
                <w:sz w:val="20"/>
                <w:szCs w:val="20"/>
              </w:rPr>
              <w:t>3</w:t>
            </w:r>
            <w:r w:rsidRPr="00C4542A">
              <w:rPr>
                <w:b/>
                <w:sz w:val="20"/>
                <w:szCs w:val="20"/>
              </w:rPr>
              <w:t xml:space="preserve"> </w:t>
            </w:r>
          </w:p>
        </w:tc>
        <w:tc>
          <w:tcPr>
            <w:tcW w:w="1559" w:type="dxa"/>
            <w:shd w:val="clear" w:color="auto" w:fill="EEECE1"/>
            <w:vAlign w:val="center"/>
          </w:tcPr>
          <w:p w:rsidR="005B3797" w:rsidRPr="00C4542A" w:rsidRDefault="001514DD" w:rsidP="00601A2E">
            <w:pPr>
              <w:jc w:val="right"/>
              <w:rPr>
                <w:b/>
                <w:sz w:val="20"/>
                <w:szCs w:val="20"/>
              </w:rPr>
            </w:pPr>
            <w:r w:rsidRPr="00C4542A">
              <w:rPr>
                <w:b/>
                <w:sz w:val="20"/>
                <w:szCs w:val="20"/>
              </w:rPr>
              <w:t>6.</w:t>
            </w:r>
            <w:r w:rsidR="00601A2E" w:rsidRPr="00C4542A">
              <w:rPr>
                <w:b/>
                <w:sz w:val="20"/>
                <w:szCs w:val="20"/>
              </w:rPr>
              <w:t>161.283,18</w:t>
            </w:r>
          </w:p>
        </w:tc>
      </w:tr>
      <w:tr w:rsidR="00EF0066" w:rsidRPr="00C4542A" w:rsidTr="008D597B">
        <w:trPr>
          <w:trHeight w:val="264"/>
        </w:trPr>
        <w:tc>
          <w:tcPr>
            <w:tcW w:w="7513" w:type="dxa"/>
            <w:vAlign w:val="center"/>
          </w:tcPr>
          <w:p w:rsidR="005B3797" w:rsidRPr="00C4542A" w:rsidRDefault="005B3797" w:rsidP="00CF0824">
            <w:pPr>
              <w:rPr>
                <w:sz w:val="20"/>
                <w:szCs w:val="20"/>
              </w:rPr>
            </w:pPr>
            <w:r w:rsidRPr="00C4542A">
              <w:rPr>
                <w:sz w:val="20"/>
                <w:szCs w:val="20"/>
              </w:rPr>
              <w:lastRenderedPageBreak/>
              <w:t>splacené půjčky</w:t>
            </w:r>
          </w:p>
        </w:tc>
        <w:tc>
          <w:tcPr>
            <w:tcW w:w="1559" w:type="dxa"/>
            <w:vAlign w:val="center"/>
          </w:tcPr>
          <w:p w:rsidR="005B3797" w:rsidRPr="00C4542A" w:rsidRDefault="00601A2E" w:rsidP="00601A2E">
            <w:pPr>
              <w:jc w:val="right"/>
              <w:rPr>
                <w:sz w:val="20"/>
                <w:szCs w:val="20"/>
              </w:rPr>
            </w:pPr>
            <w:r w:rsidRPr="00C4542A">
              <w:rPr>
                <w:sz w:val="20"/>
                <w:szCs w:val="20"/>
              </w:rPr>
              <w:t>10.000,00</w:t>
            </w:r>
          </w:p>
        </w:tc>
      </w:tr>
      <w:tr w:rsidR="00EF0066" w:rsidRPr="00C4542A" w:rsidTr="008D597B">
        <w:trPr>
          <w:trHeight w:val="282"/>
        </w:trPr>
        <w:tc>
          <w:tcPr>
            <w:tcW w:w="7513" w:type="dxa"/>
            <w:vAlign w:val="center"/>
          </w:tcPr>
          <w:p w:rsidR="005B3797" w:rsidRPr="00C4542A" w:rsidRDefault="005B3797" w:rsidP="00601A2E">
            <w:pPr>
              <w:rPr>
                <w:sz w:val="20"/>
                <w:szCs w:val="20"/>
              </w:rPr>
            </w:pPr>
            <w:r w:rsidRPr="00C4542A">
              <w:rPr>
                <w:sz w:val="20"/>
                <w:szCs w:val="20"/>
              </w:rPr>
              <w:t xml:space="preserve">převod </w:t>
            </w:r>
            <w:r w:rsidR="00601A2E" w:rsidRPr="00C4542A">
              <w:rPr>
                <w:sz w:val="20"/>
                <w:szCs w:val="20"/>
              </w:rPr>
              <w:t>3,9</w:t>
            </w:r>
            <w:r w:rsidRPr="00C4542A">
              <w:rPr>
                <w:sz w:val="20"/>
                <w:szCs w:val="20"/>
              </w:rPr>
              <w:t xml:space="preserve"> % z objemu mzdových prostředků (1-11/201</w:t>
            </w:r>
            <w:r w:rsidR="00601A2E" w:rsidRPr="00C4542A">
              <w:rPr>
                <w:sz w:val="20"/>
                <w:szCs w:val="20"/>
              </w:rPr>
              <w:t>3</w:t>
            </w:r>
            <w:r w:rsidRPr="00C4542A">
              <w:rPr>
                <w:sz w:val="20"/>
                <w:szCs w:val="20"/>
              </w:rPr>
              <w:t>)</w:t>
            </w:r>
          </w:p>
        </w:tc>
        <w:tc>
          <w:tcPr>
            <w:tcW w:w="1559" w:type="dxa"/>
            <w:vAlign w:val="center"/>
          </w:tcPr>
          <w:p w:rsidR="005B3797" w:rsidRPr="00C4542A" w:rsidRDefault="00A70F03" w:rsidP="00EF0066">
            <w:pPr>
              <w:jc w:val="right"/>
              <w:rPr>
                <w:sz w:val="20"/>
                <w:szCs w:val="20"/>
              </w:rPr>
            </w:pPr>
            <w:r w:rsidRPr="00C4542A">
              <w:rPr>
                <w:sz w:val="20"/>
                <w:szCs w:val="20"/>
              </w:rPr>
              <w:t>4.306.386,00</w:t>
            </w:r>
          </w:p>
        </w:tc>
      </w:tr>
      <w:tr w:rsidR="00EF0066" w:rsidRPr="00C4542A" w:rsidTr="008D597B">
        <w:trPr>
          <w:trHeight w:val="272"/>
        </w:trPr>
        <w:tc>
          <w:tcPr>
            <w:tcW w:w="7513" w:type="dxa"/>
            <w:vAlign w:val="center"/>
          </w:tcPr>
          <w:p w:rsidR="005B3797" w:rsidRPr="00C4542A" w:rsidRDefault="005B3797" w:rsidP="00601A2E">
            <w:pPr>
              <w:rPr>
                <w:sz w:val="20"/>
                <w:szCs w:val="20"/>
              </w:rPr>
            </w:pPr>
            <w:r w:rsidRPr="00C4542A">
              <w:rPr>
                <w:sz w:val="20"/>
                <w:szCs w:val="20"/>
              </w:rPr>
              <w:t xml:space="preserve">převod </w:t>
            </w:r>
            <w:r w:rsidR="00601A2E" w:rsidRPr="00C4542A">
              <w:rPr>
                <w:sz w:val="20"/>
                <w:szCs w:val="20"/>
              </w:rPr>
              <w:t>4,8</w:t>
            </w:r>
            <w:r w:rsidRPr="00C4542A">
              <w:rPr>
                <w:sz w:val="20"/>
                <w:szCs w:val="20"/>
              </w:rPr>
              <w:t xml:space="preserve"> % z objemu mzdových prostředků (12/201</w:t>
            </w:r>
            <w:r w:rsidR="00601A2E" w:rsidRPr="00C4542A">
              <w:rPr>
                <w:sz w:val="20"/>
                <w:szCs w:val="20"/>
              </w:rPr>
              <w:t>2</w:t>
            </w:r>
            <w:r w:rsidRPr="00C4542A">
              <w:rPr>
                <w:sz w:val="20"/>
                <w:szCs w:val="20"/>
              </w:rPr>
              <w:t>)</w:t>
            </w:r>
          </w:p>
        </w:tc>
        <w:tc>
          <w:tcPr>
            <w:tcW w:w="1559" w:type="dxa"/>
            <w:vAlign w:val="center"/>
          </w:tcPr>
          <w:p w:rsidR="005B3797" w:rsidRPr="00C4542A" w:rsidRDefault="00601A2E" w:rsidP="00EF0066">
            <w:pPr>
              <w:jc w:val="right"/>
              <w:rPr>
                <w:sz w:val="20"/>
                <w:szCs w:val="20"/>
              </w:rPr>
            </w:pPr>
            <w:r w:rsidRPr="00C4542A">
              <w:rPr>
                <w:sz w:val="20"/>
                <w:szCs w:val="20"/>
              </w:rPr>
              <w:t>403.459,00</w:t>
            </w:r>
          </w:p>
        </w:tc>
      </w:tr>
      <w:tr w:rsidR="00EF0066" w:rsidRPr="00C4542A" w:rsidTr="008D597B">
        <w:trPr>
          <w:trHeight w:val="280"/>
        </w:trPr>
        <w:tc>
          <w:tcPr>
            <w:tcW w:w="7513" w:type="dxa"/>
            <w:vAlign w:val="center"/>
          </w:tcPr>
          <w:p w:rsidR="005B3797" w:rsidRPr="00C4542A" w:rsidRDefault="005B3797" w:rsidP="00831C29">
            <w:pPr>
              <w:rPr>
                <w:sz w:val="20"/>
                <w:szCs w:val="20"/>
              </w:rPr>
            </w:pPr>
            <w:r w:rsidRPr="00C4542A">
              <w:rPr>
                <w:sz w:val="20"/>
                <w:szCs w:val="20"/>
              </w:rPr>
              <w:t xml:space="preserve">příspěvek na nákup stravenek </w:t>
            </w:r>
          </w:p>
        </w:tc>
        <w:tc>
          <w:tcPr>
            <w:tcW w:w="1559" w:type="dxa"/>
            <w:vAlign w:val="center"/>
          </w:tcPr>
          <w:p w:rsidR="005B3797" w:rsidRPr="00C4542A" w:rsidRDefault="00A70F03" w:rsidP="001E535B">
            <w:pPr>
              <w:jc w:val="right"/>
              <w:rPr>
                <w:sz w:val="20"/>
                <w:szCs w:val="20"/>
              </w:rPr>
            </w:pPr>
            <w:r w:rsidRPr="00C4542A">
              <w:rPr>
                <w:sz w:val="20"/>
                <w:szCs w:val="20"/>
              </w:rPr>
              <w:t>-2.39</w:t>
            </w:r>
            <w:r w:rsidR="001E535B" w:rsidRPr="00C4542A">
              <w:rPr>
                <w:sz w:val="20"/>
                <w:szCs w:val="20"/>
              </w:rPr>
              <w:t>2.000,00</w:t>
            </w:r>
          </w:p>
        </w:tc>
      </w:tr>
      <w:tr w:rsidR="00EF0066" w:rsidRPr="00C4542A" w:rsidTr="008D597B">
        <w:trPr>
          <w:trHeight w:val="270"/>
        </w:trPr>
        <w:tc>
          <w:tcPr>
            <w:tcW w:w="7513" w:type="dxa"/>
            <w:vAlign w:val="center"/>
          </w:tcPr>
          <w:p w:rsidR="005B3797" w:rsidRPr="00C4542A" w:rsidRDefault="005B3797" w:rsidP="00380EBA">
            <w:pPr>
              <w:rPr>
                <w:sz w:val="20"/>
                <w:szCs w:val="20"/>
              </w:rPr>
            </w:pPr>
            <w:r w:rsidRPr="00C4542A">
              <w:rPr>
                <w:sz w:val="20"/>
                <w:szCs w:val="20"/>
              </w:rPr>
              <w:t>příspěvek na penzijní připojištění</w:t>
            </w:r>
            <w:r w:rsidR="00AA76C9" w:rsidRPr="00C4542A">
              <w:rPr>
                <w:sz w:val="20"/>
                <w:szCs w:val="20"/>
              </w:rPr>
              <w:t xml:space="preserve"> </w:t>
            </w:r>
            <w:r w:rsidR="00D032E0" w:rsidRPr="00C4542A">
              <w:rPr>
                <w:sz w:val="20"/>
                <w:szCs w:val="20"/>
              </w:rPr>
              <w:t>(1-1</w:t>
            </w:r>
            <w:r w:rsidR="00380EBA" w:rsidRPr="00C4542A">
              <w:rPr>
                <w:sz w:val="20"/>
                <w:szCs w:val="20"/>
              </w:rPr>
              <w:t>1</w:t>
            </w:r>
            <w:r w:rsidR="00D032E0" w:rsidRPr="00C4542A">
              <w:rPr>
                <w:sz w:val="20"/>
                <w:szCs w:val="20"/>
              </w:rPr>
              <w:t>)</w:t>
            </w:r>
          </w:p>
        </w:tc>
        <w:tc>
          <w:tcPr>
            <w:tcW w:w="1559" w:type="dxa"/>
            <w:vAlign w:val="center"/>
          </w:tcPr>
          <w:p w:rsidR="005B3797" w:rsidRPr="00C4542A" w:rsidRDefault="001E22C2" w:rsidP="00803723">
            <w:pPr>
              <w:jc w:val="right"/>
              <w:rPr>
                <w:sz w:val="20"/>
                <w:szCs w:val="20"/>
              </w:rPr>
            </w:pPr>
            <w:r w:rsidRPr="00C4542A">
              <w:rPr>
                <w:sz w:val="20"/>
                <w:szCs w:val="20"/>
              </w:rPr>
              <w:t>-1.409.255,00</w:t>
            </w:r>
          </w:p>
        </w:tc>
      </w:tr>
      <w:tr w:rsidR="00EF0066" w:rsidRPr="00C4542A" w:rsidTr="008D597B">
        <w:trPr>
          <w:trHeight w:val="260"/>
        </w:trPr>
        <w:tc>
          <w:tcPr>
            <w:tcW w:w="7513" w:type="dxa"/>
            <w:vAlign w:val="center"/>
          </w:tcPr>
          <w:p w:rsidR="005B3797" w:rsidRPr="00C4542A" w:rsidRDefault="005B3797" w:rsidP="00D474B4">
            <w:pPr>
              <w:rPr>
                <w:sz w:val="20"/>
                <w:szCs w:val="20"/>
              </w:rPr>
            </w:pPr>
            <w:r w:rsidRPr="00C4542A">
              <w:rPr>
                <w:sz w:val="20"/>
                <w:szCs w:val="20"/>
              </w:rPr>
              <w:t>příspěvek na rekreaci</w:t>
            </w:r>
            <w:r w:rsidR="00AA76C9" w:rsidRPr="00C4542A">
              <w:rPr>
                <w:sz w:val="20"/>
                <w:szCs w:val="20"/>
              </w:rPr>
              <w:t xml:space="preserve"> </w:t>
            </w:r>
            <w:r w:rsidR="001E22C2" w:rsidRPr="00C4542A">
              <w:rPr>
                <w:sz w:val="20"/>
                <w:szCs w:val="20"/>
              </w:rPr>
              <w:t>(1-11)</w:t>
            </w:r>
          </w:p>
        </w:tc>
        <w:tc>
          <w:tcPr>
            <w:tcW w:w="1559" w:type="dxa"/>
            <w:vAlign w:val="center"/>
          </w:tcPr>
          <w:p w:rsidR="005B3797" w:rsidRPr="00C4542A" w:rsidRDefault="00500505" w:rsidP="001E22C2">
            <w:pPr>
              <w:jc w:val="right"/>
              <w:rPr>
                <w:sz w:val="20"/>
                <w:szCs w:val="20"/>
              </w:rPr>
            </w:pPr>
            <w:r w:rsidRPr="00C4542A">
              <w:rPr>
                <w:sz w:val="20"/>
                <w:szCs w:val="20"/>
              </w:rPr>
              <w:t>-</w:t>
            </w:r>
            <w:r w:rsidR="00D032E0" w:rsidRPr="00C4542A">
              <w:rPr>
                <w:sz w:val="20"/>
                <w:szCs w:val="20"/>
              </w:rPr>
              <w:t>2.</w:t>
            </w:r>
            <w:r w:rsidR="001E22C2" w:rsidRPr="00C4542A">
              <w:rPr>
                <w:sz w:val="20"/>
                <w:szCs w:val="20"/>
              </w:rPr>
              <w:t>241.261,00</w:t>
            </w:r>
          </w:p>
        </w:tc>
      </w:tr>
      <w:tr w:rsidR="00EF0066" w:rsidRPr="00C4542A" w:rsidTr="00707E8A">
        <w:trPr>
          <w:trHeight w:val="298"/>
        </w:trPr>
        <w:tc>
          <w:tcPr>
            <w:tcW w:w="7513" w:type="dxa"/>
            <w:vAlign w:val="center"/>
          </w:tcPr>
          <w:p w:rsidR="005B3797" w:rsidRPr="00C4542A" w:rsidRDefault="00B41A08" w:rsidP="00B41A08">
            <w:pPr>
              <w:rPr>
                <w:sz w:val="20"/>
                <w:szCs w:val="20"/>
              </w:rPr>
            </w:pPr>
            <w:r w:rsidRPr="00C4542A">
              <w:rPr>
                <w:sz w:val="20"/>
                <w:szCs w:val="20"/>
              </w:rPr>
              <w:t>p</w:t>
            </w:r>
            <w:r w:rsidR="00500505" w:rsidRPr="00C4542A">
              <w:rPr>
                <w:sz w:val="20"/>
                <w:szCs w:val="20"/>
              </w:rPr>
              <w:t>říspěvek na pohoštění důchodců</w:t>
            </w:r>
          </w:p>
        </w:tc>
        <w:tc>
          <w:tcPr>
            <w:tcW w:w="1559" w:type="dxa"/>
            <w:vAlign w:val="center"/>
          </w:tcPr>
          <w:p w:rsidR="005B3797" w:rsidRPr="00C4542A" w:rsidRDefault="005E1108" w:rsidP="000C6F44">
            <w:pPr>
              <w:jc w:val="right"/>
              <w:rPr>
                <w:sz w:val="20"/>
                <w:szCs w:val="20"/>
              </w:rPr>
            </w:pPr>
            <w:r w:rsidRPr="00C4542A">
              <w:rPr>
                <w:sz w:val="20"/>
                <w:szCs w:val="20"/>
              </w:rPr>
              <w:t>-24.993,</w:t>
            </w:r>
            <w:r w:rsidR="00A70F03" w:rsidRPr="00C4542A">
              <w:rPr>
                <w:sz w:val="20"/>
                <w:szCs w:val="20"/>
              </w:rPr>
              <w:t>00</w:t>
            </w:r>
          </w:p>
        </w:tc>
      </w:tr>
      <w:tr w:rsidR="001E535B" w:rsidRPr="00C4542A" w:rsidTr="00707E8A">
        <w:trPr>
          <w:trHeight w:val="298"/>
        </w:trPr>
        <w:tc>
          <w:tcPr>
            <w:tcW w:w="7513" w:type="dxa"/>
            <w:vAlign w:val="center"/>
          </w:tcPr>
          <w:p w:rsidR="001E535B" w:rsidRPr="00C4542A" w:rsidRDefault="00257B09" w:rsidP="00257B09">
            <w:pPr>
              <w:rPr>
                <w:sz w:val="20"/>
                <w:szCs w:val="20"/>
              </w:rPr>
            </w:pPr>
            <w:r w:rsidRPr="00C4542A">
              <w:rPr>
                <w:sz w:val="20"/>
                <w:szCs w:val="20"/>
              </w:rPr>
              <w:t>příspěvek – sociální výpomoc</w:t>
            </w:r>
            <w:r w:rsidR="00AA76C9" w:rsidRPr="00C4542A">
              <w:rPr>
                <w:sz w:val="20"/>
                <w:szCs w:val="20"/>
              </w:rPr>
              <w:t xml:space="preserve"> </w:t>
            </w:r>
            <w:r w:rsidRPr="00C4542A">
              <w:rPr>
                <w:sz w:val="20"/>
                <w:szCs w:val="20"/>
              </w:rPr>
              <w:t xml:space="preserve">zaměstnanci </w:t>
            </w:r>
          </w:p>
        </w:tc>
        <w:tc>
          <w:tcPr>
            <w:tcW w:w="1559" w:type="dxa"/>
            <w:vAlign w:val="center"/>
          </w:tcPr>
          <w:p w:rsidR="001E535B" w:rsidRPr="00C4542A" w:rsidRDefault="00257B09" w:rsidP="000C6F44">
            <w:pPr>
              <w:jc w:val="right"/>
              <w:rPr>
                <w:sz w:val="20"/>
                <w:szCs w:val="20"/>
              </w:rPr>
            </w:pPr>
            <w:r w:rsidRPr="00C4542A">
              <w:rPr>
                <w:sz w:val="20"/>
                <w:szCs w:val="20"/>
              </w:rPr>
              <w:t>-5.000,00</w:t>
            </w:r>
          </w:p>
        </w:tc>
      </w:tr>
      <w:tr w:rsidR="00EF0066" w:rsidRPr="00C4542A" w:rsidTr="008D597B">
        <w:trPr>
          <w:trHeight w:val="268"/>
        </w:trPr>
        <w:tc>
          <w:tcPr>
            <w:tcW w:w="7513" w:type="dxa"/>
            <w:vAlign w:val="center"/>
          </w:tcPr>
          <w:p w:rsidR="005B3797" w:rsidRPr="00C4542A" w:rsidRDefault="005B3797" w:rsidP="00707E8A">
            <w:pPr>
              <w:rPr>
                <w:sz w:val="20"/>
                <w:szCs w:val="20"/>
              </w:rPr>
            </w:pPr>
            <w:r w:rsidRPr="00C4542A">
              <w:rPr>
                <w:sz w:val="20"/>
                <w:szCs w:val="20"/>
              </w:rPr>
              <w:t>finanční vypořádání za r. 201</w:t>
            </w:r>
            <w:r w:rsidR="002232D8" w:rsidRPr="00C4542A">
              <w:rPr>
                <w:sz w:val="20"/>
                <w:szCs w:val="20"/>
              </w:rPr>
              <w:t>2</w:t>
            </w:r>
            <w:r w:rsidRPr="00C4542A">
              <w:rPr>
                <w:sz w:val="20"/>
                <w:szCs w:val="20"/>
              </w:rPr>
              <w:t xml:space="preserve"> </w:t>
            </w:r>
            <w:r w:rsidR="008D597B" w:rsidRPr="00C4542A">
              <w:rPr>
                <w:sz w:val="20"/>
                <w:szCs w:val="20"/>
              </w:rPr>
              <w:t>(přísp</w:t>
            </w:r>
            <w:r w:rsidR="00A22E8E" w:rsidRPr="00C4542A">
              <w:rPr>
                <w:sz w:val="20"/>
                <w:szCs w:val="20"/>
              </w:rPr>
              <w:t>ěvek</w:t>
            </w:r>
            <w:r w:rsidR="008D597B" w:rsidRPr="00C4542A">
              <w:rPr>
                <w:sz w:val="20"/>
                <w:szCs w:val="20"/>
              </w:rPr>
              <w:t xml:space="preserve"> na penzijní připoj</w:t>
            </w:r>
            <w:r w:rsidR="00A22E8E" w:rsidRPr="00C4542A">
              <w:rPr>
                <w:sz w:val="20"/>
                <w:szCs w:val="20"/>
              </w:rPr>
              <w:t>ištění</w:t>
            </w:r>
            <w:r w:rsidR="008D597B" w:rsidRPr="00C4542A">
              <w:rPr>
                <w:sz w:val="20"/>
                <w:szCs w:val="20"/>
              </w:rPr>
              <w:t xml:space="preserve"> za měsíc prosinec) </w:t>
            </w:r>
          </w:p>
        </w:tc>
        <w:tc>
          <w:tcPr>
            <w:tcW w:w="1559" w:type="dxa"/>
            <w:vAlign w:val="center"/>
          </w:tcPr>
          <w:p w:rsidR="005B3797" w:rsidRPr="00C4542A" w:rsidRDefault="00707E8A" w:rsidP="00707E8A">
            <w:pPr>
              <w:jc w:val="right"/>
              <w:rPr>
                <w:sz w:val="20"/>
                <w:szCs w:val="20"/>
              </w:rPr>
            </w:pPr>
            <w:r w:rsidRPr="00C4542A">
              <w:rPr>
                <w:sz w:val="20"/>
                <w:szCs w:val="20"/>
              </w:rPr>
              <w:t>-124.366,00</w:t>
            </w:r>
          </w:p>
        </w:tc>
      </w:tr>
      <w:tr w:rsidR="00B41A08" w:rsidRPr="00C4542A" w:rsidTr="00A263C6">
        <w:trPr>
          <w:trHeight w:val="242"/>
        </w:trPr>
        <w:tc>
          <w:tcPr>
            <w:tcW w:w="7513" w:type="dxa"/>
            <w:vAlign w:val="center"/>
          </w:tcPr>
          <w:p w:rsidR="00B41A08" w:rsidRPr="00C4542A" w:rsidRDefault="00A263C6" w:rsidP="00A263C6">
            <w:pPr>
              <w:rPr>
                <w:sz w:val="20"/>
                <w:szCs w:val="20"/>
              </w:rPr>
            </w:pPr>
            <w:r>
              <w:rPr>
                <w:sz w:val="20"/>
                <w:szCs w:val="20"/>
              </w:rPr>
              <w:t>v</w:t>
            </w:r>
            <w:r w:rsidR="0058088E" w:rsidRPr="00C4542A">
              <w:rPr>
                <w:sz w:val="20"/>
                <w:szCs w:val="20"/>
              </w:rPr>
              <w:t>ratky z dobropisované částky za stravenky a v</w:t>
            </w:r>
            <w:r>
              <w:rPr>
                <w:sz w:val="20"/>
                <w:szCs w:val="20"/>
              </w:rPr>
              <w:t>ratky z penzijního připojištění</w:t>
            </w:r>
          </w:p>
        </w:tc>
        <w:tc>
          <w:tcPr>
            <w:tcW w:w="1559" w:type="dxa"/>
            <w:vAlign w:val="center"/>
          </w:tcPr>
          <w:p w:rsidR="00B41A08" w:rsidRPr="00C4542A" w:rsidRDefault="0058088E" w:rsidP="00EF0066">
            <w:pPr>
              <w:jc w:val="right"/>
              <w:rPr>
                <w:sz w:val="20"/>
                <w:szCs w:val="20"/>
              </w:rPr>
            </w:pPr>
            <w:r w:rsidRPr="00C4542A">
              <w:rPr>
                <w:sz w:val="20"/>
                <w:szCs w:val="20"/>
              </w:rPr>
              <w:t>760,00</w:t>
            </w:r>
          </w:p>
        </w:tc>
      </w:tr>
      <w:tr w:rsidR="00EF0066" w:rsidRPr="00C4542A" w:rsidTr="00D90033">
        <w:trPr>
          <w:trHeight w:val="396"/>
        </w:trPr>
        <w:tc>
          <w:tcPr>
            <w:tcW w:w="7513" w:type="dxa"/>
            <w:shd w:val="clear" w:color="auto" w:fill="EEECE1"/>
            <w:vAlign w:val="center"/>
          </w:tcPr>
          <w:p w:rsidR="005B3797" w:rsidRPr="00C4542A" w:rsidRDefault="005B3797" w:rsidP="00505A70">
            <w:pPr>
              <w:rPr>
                <w:b/>
                <w:sz w:val="20"/>
                <w:szCs w:val="20"/>
              </w:rPr>
            </w:pPr>
            <w:r w:rsidRPr="00C4542A">
              <w:rPr>
                <w:b/>
                <w:sz w:val="20"/>
                <w:szCs w:val="20"/>
              </w:rPr>
              <w:t>Stav Sociálního fondu</w:t>
            </w:r>
            <w:r w:rsidR="00AA76C9" w:rsidRPr="00C4542A">
              <w:rPr>
                <w:b/>
                <w:sz w:val="20"/>
                <w:szCs w:val="20"/>
              </w:rPr>
              <w:t xml:space="preserve"> </w:t>
            </w:r>
            <w:r w:rsidRPr="00C4542A">
              <w:rPr>
                <w:b/>
                <w:sz w:val="20"/>
                <w:szCs w:val="20"/>
              </w:rPr>
              <w:t>k 31.</w:t>
            </w:r>
            <w:r w:rsidR="00CD7F4C">
              <w:rPr>
                <w:b/>
                <w:sz w:val="20"/>
                <w:szCs w:val="20"/>
              </w:rPr>
              <w:t xml:space="preserve"> </w:t>
            </w:r>
            <w:r w:rsidRPr="00C4542A">
              <w:rPr>
                <w:b/>
                <w:sz w:val="20"/>
                <w:szCs w:val="20"/>
              </w:rPr>
              <w:t>12.</w:t>
            </w:r>
            <w:r w:rsidR="00CD7F4C">
              <w:rPr>
                <w:b/>
                <w:sz w:val="20"/>
                <w:szCs w:val="20"/>
              </w:rPr>
              <w:t xml:space="preserve"> </w:t>
            </w:r>
            <w:r w:rsidRPr="00C4542A">
              <w:rPr>
                <w:b/>
                <w:sz w:val="20"/>
                <w:szCs w:val="20"/>
              </w:rPr>
              <w:t>201</w:t>
            </w:r>
            <w:r w:rsidR="00505A70" w:rsidRPr="00C4542A">
              <w:rPr>
                <w:b/>
                <w:sz w:val="20"/>
                <w:szCs w:val="20"/>
              </w:rPr>
              <w:t>3</w:t>
            </w:r>
          </w:p>
        </w:tc>
        <w:tc>
          <w:tcPr>
            <w:tcW w:w="1559" w:type="dxa"/>
            <w:shd w:val="clear" w:color="auto" w:fill="EEECE1"/>
            <w:vAlign w:val="center"/>
          </w:tcPr>
          <w:p w:rsidR="005B3797" w:rsidRPr="00C4542A" w:rsidRDefault="00505A70" w:rsidP="00505A70">
            <w:pPr>
              <w:jc w:val="right"/>
              <w:rPr>
                <w:b/>
                <w:sz w:val="20"/>
                <w:szCs w:val="20"/>
              </w:rPr>
            </w:pPr>
            <w:r w:rsidRPr="00C4542A">
              <w:rPr>
                <w:b/>
                <w:sz w:val="20"/>
                <w:szCs w:val="20"/>
              </w:rPr>
              <w:t>4.685.013,18</w:t>
            </w:r>
          </w:p>
        </w:tc>
      </w:tr>
    </w:tbl>
    <w:p w:rsidR="00D71C47" w:rsidRPr="008D597B" w:rsidRDefault="00D71C47" w:rsidP="000C6F44">
      <w:pPr>
        <w:rPr>
          <w:sz w:val="18"/>
          <w:szCs w:val="18"/>
          <w:highlight w:val="yellow"/>
        </w:rPr>
      </w:pPr>
    </w:p>
    <w:p w:rsidR="007F6FAA" w:rsidRDefault="00D71C47" w:rsidP="00D71C47">
      <w:pPr>
        <w:jc w:val="both"/>
        <w:rPr>
          <w:sz w:val="22"/>
          <w:szCs w:val="22"/>
        </w:rPr>
      </w:pPr>
      <w:r w:rsidRPr="00F20418">
        <w:rPr>
          <w:sz w:val="22"/>
          <w:szCs w:val="22"/>
        </w:rPr>
        <w:t>Tvorba a čerpání fondu se ř</w:t>
      </w:r>
      <w:r w:rsidR="00505A70">
        <w:rPr>
          <w:sz w:val="22"/>
          <w:szCs w:val="22"/>
        </w:rPr>
        <w:t>ídí</w:t>
      </w:r>
      <w:r w:rsidRPr="00F20418">
        <w:rPr>
          <w:sz w:val="22"/>
          <w:szCs w:val="22"/>
        </w:rPr>
        <w:t xml:space="preserve"> rozpočtem městské části a schválenými Zásadami Úřadu městské části Praha 5 pro poskytování příspěvků ze sociálního fondu v roce 20</w:t>
      </w:r>
      <w:r w:rsidR="00F54F08" w:rsidRPr="00F20418">
        <w:rPr>
          <w:sz w:val="22"/>
          <w:szCs w:val="22"/>
        </w:rPr>
        <w:t>1</w:t>
      </w:r>
      <w:r w:rsidR="00960488">
        <w:rPr>
          <w:sz w:val="22"/>
          <w:szCs w:val="22"/>
        </w:rPr>
        <w:t>3</w:t>
      </w:r>
      <w:r w:rsidR="007F6FAA">
        <w:rPr>
          <w:sz w:val="22"/>
          <w:szCs w:val="22"/>
        </w:rPr>
        <w:t>,</w:t>
      </w:r>
      <w:r w:rsidRPr="00F20418">
        <w:rPr>
          <w:sz w:val="22"/>
          <w:szCs w:val="22"/>
        </w:rPr>
        <w:t xml:space="preserve"> </w:t>
      </w:r>
      <w:r w:rsidR="004E4987" w:rsidRPr="00F20418">
        <w:rPr>
          <w:sz w:val="22"/>
          <w:szCs w:val="22"/>
        </w:rPr>
        <w:t>schválených usn</w:t>
      </w:r>
      <w:r w:rsidR="007E7DED" w:rsidRPr="00F20418">
        <w:rPr>
          <w:sz w:val="22"/>
          <w:szCs w:val="22"/>
        </w:rPr>
        <w:t xml:space="preserve">esením </w:t>
      </w:r>
      <w:r w:rsidRPr="00F20418">
        <w:rPr>
          <w:sz w:val="22"/>
          <w:szCs w:val="22"/>
        </w:rPr>
        <w:t xml:space="preserve">RMČ č. </w:t>
      </w:r>
      <w:r w:rsidR="003C5EF3">
        <w:rPr>
          <w:sz w:val="22"/>
          <w:szCs w:val="22"/>
        </w:rPr>
        <w:t>45/1671/2012 ze dne 20.</w:t>
      </w:r>
      <w:r w:rsidR="006667DE">
        <w:rPr>
          <w:sz w:val="22"/>
          <w:szCs w:val="22"/>
        </w:rPr>
        <w:t xml:space="preserve"> </w:t>
      </w:r>
      <w:r w:rsidR="003C5EF3">
        <w:rPr>
          <w:sz w:val="22"/>
          <w:szCs w:val="22"/>
        </w:rPr>
        <w:t>11.</w:t>
      </w:r>
      <w:r w:rsidR="006667DE">
        <w:rPr>
          <w:sz w:val="22"/>
          <w:szCs w:val="22"/>
        </w:rPr>
        <w:t xml:space="preserve"> </w:t>
      </w:r>
      <w:r w:rsidR="003C5EF3">
        <w:rPr>
          <w:sz w:val="22"/>
          <w:szCs w:val="22"/>
        </w:rPr>
        <w:t>2012.</w:t>
      </w:r>
      <w:r w:rsidR="007F6FAA">
        <w:rPr>
          <w:sz w:val="22"/>
          <w:szCs w:val="22"/>
        </w:rPr>
        <w:t xml:space="preserve"> </w:t>
      </w:r>
    </w:p>
    <w:p w:rsidR="00D43E1E" w:rsidRDefault="00D43E1E" w:rsidP="00D71C47">
      <w:pPr>
        <w:jc w:val="both"/>
        <w:rPr>
          <w:sz w:val="22"/>
          <w:szCs w:val="22"/>
        </w:rPr>
      </w:pPr>
    </w:p>
    <w:p w:rsidR="00D71C47" w:rsidRPr="00F20418" w:rsidRDefault="000E05DC" w:rsidP="00D71C47">
      <w:pPr>
        <w:jc w:val="both"/>
        <w:rPr>
          <w:sz w:val="22"/>
          <w:szCs w:val="22"/>
        </w:rPr>
      </w:pPr>
      <w:r>
        <w:rPr>
          <w:sz w:val="22"/>
          <w:szCs w:val="22"/>
        </w:rPr>
        <w:t>P</w:t>
      </w:r>
      <w:r w:rsidR="00506A41" w:rsidRPr="00F20418">
        <w:rPr>
          <w:sz w:val="22"/>
          <w:szCs w:val="22"/>
        </w:rPr>
        <w:t xml:space="preserve">řevod </w:t>
      </w:r>
      <w:r w:rsidR="002232D8">
        <w:rPr>
          <w:sz w:val="22"/>
          <w:szCs w:val="22"/>
        </w:rPr>
        <w:t xml:space="preserve">3,9 % </w:t>
      </w:r>
      <w:r w:rsidR="00506A41" w:rsidRPr="00F20418">
        <w:rPr>
          <w:sz w:val="22"/>
          <w:szCs w:val="22"/>
        </w:rPr>
        <w:t xml:space="preserve">z objemu mezd </w:t>
      </w:r>
      <w:r>
        <w:rPr>
          <w:sz w:val="22"/>
          <w:szCs w:val="22"/>
        </w:rPr>
        <w:t xml:space="preserve">městské části </w:t>
      </w:r>
      <w:r w:rsidR="00506A41" w:rsidRPr="00F20418">
        <w:rPr>
          <w:sz w:val="22"/>
          <w:szCs w:val="22"/>
        </w:rPr>
        <w:t>za měsíc prosinec 201</w:t>
      </w:r>
      <w:r w:rsidR="00960488">
        <w:rPr>
          <w:sz w:val="22"/>
          <w:szCs w:val="22"/>
        </w:rPr>
        <w:t>3</w:t>
      </w:r>
      <w:r w:rsidR="00506A41" w:rsidRPr="00F20418">
        <w:rPr>
          <w:sz w:val="22"/>
          <w:szCs w:val="22"/>
        </w:rPr>
        <w:t xml:space="preserve"> ve výši</w:t>
      </w:r>
      <w:r w:rsidR="002232D8">
        <w:rPr>
          <w:sz w:val="22"/>
          <w:szCs w:val="22"/>
        </w:rPr>
        <w:t xml:space="preserve"> 356.</w:t>
      </w:r>
      <w:r w:rsidR="002232D8" w:rsidRPr="002232D8">
        <w:rPr>
          <w:sz w:val="22"/>
          <w:szCs w:val="22"/>
        </w:rPr>
        <w:t>815</w:t>
      </w:r>
      <w:r w:rsidR="005E1108">
        <w:rPr>
          <w:sz w:val="22"/>
          <w:szCs w:val="22"/>
        </w:rPr>
        <w:t> Kč</w:t>
      </w:r>
      <w:r w:rsidR="00506A41" w:rsidRPr="00F20418">
        <w:rPr>
          <w:sz w:val="22"/>
          <w:szCs w:val="22"/>
        </w:rPr>
        <w:t xml:space="preserve"> do </w:t>
      </w:r>
      <w:r>
        <w:rPr>
          <w:sz w:val="22"/>
          <w:szCs w:val="22"/>
        </w:rPr>
        <w:t xml:space="preserve">příjmů </w:t>
      </w:r>
      <w:r w:rsidR="00506A41" w:rsidRPr="00F20418">
        <w:rPr>
          <w:sz w:val="22"/>
          <w:szCs w:val="22"/>
        </w:rPr>
        <w:t>sociálního fondu</w:t>
      </w:r>
      <w:r w:rsidR="00B8275D">
        <w:rPr>
          <w:sz w:val="22"/>
          <w:szCs w:val="22"/>
        </w:rPr>
        <w:t xml:space="preserve"> roku 201</w:t>
      </w:r>
      <w:r w:rsidR="00960488">
        <w:rPr>
          <w:sz w:val="22"/>
          <w:szCs w:val="22"/>
        </w:rPr>
        <w:t>4</w:t>
      </w:r>
      <w:r w:rsidR="00B8275D">
        <w:rPr>
          <w:sz w:val="22"/>
          <w:szCs w:val="22"/>
        </w:rPr>
        <w:t xml:space="preserve"> </w:t>
      </w:r>
      <w:r w:rsidR="00506A41" w:rsidRPr="00F20418">
        <w:rPr>
          <w:sz w:val="22"/>
          <w:szCs w:val="22"/>
        </w:rPr>
        <w:t>je součástí finančního vypořádání za rok 201</w:t>
      </w:r>
      <w:r w:rsidR="00960488">
        <w:rPr>
          <w:sz w:val="22"/>
          <w:szCs w:val="22"/>
        </w:rPr>
        <w:t>3</w:t>
      </w:r>
      <w:r w:rsidR="00B8275D">
        <w:rPr>
          <w:sz w:val="22"/>
          <w:szCs w:val="22"/>
        </w:rPr>
        <w:t xml:space="preserve">, rovněž tak naopak z fondu bude převedeno do rozpočtu městské části </w:t>
      </w:r>
      <w:r w:rsidR="00822803">
        <w:rPr>
          <w:sz w:val="22"/>
          <w:szCs w:val="22"/>
        </w:rPr>
        <w:t>v roce 201</w:t>
      </w:r>
      <w:r w:rsidR="00960488">
        <w:rPr>
          <w:sz w:val="22"/>
          <w:szCs w:val="22"/>
        </w:rPr>
        <w:t>4</w:t>
      </w:r>
      <w:r w:rsidR="00822803">
        <w:rPr>
          <w:sz w:val="22"/>
          <w:szCs w:val="22"/>
        </w:rPr>
        <w:t xml:space="preserve"> </w:t>
      </w:r>
      <w:r w:rsidR="00B8275D">
        <w:rPr>
          <w:sz w:val="22"/>
          <w:szCs w:val="22"/>
        </w:rPr>
        <w:t>celkem</w:t>
      </w:r>
      <w:r w:rsidR="00AA76C9">
        <w:rPr>
          <w:sz w:val="22"/>
          <w:szCs w:val="22"/>
        </w:rPr>
        <w:t xml:space="preserve"> </w:t>
      </w:r>
      <w:r w:rsidR="00505A70">
        <w:rPr>
          <w:sz w:val="22"/>
          <w:szCs w:val="22"/>
        </w:rPr>
        <w:t>126.704</w:t>
      </w:r>
      <w:r w:rsidR="005E1108">
        <w:rPr>
          <w:sz w:val="22"/>
          <w:szCs w:val="22"/>
        </w:rPr>
        <w:t> Kč</w:t>
      </w:r>
      <w:r w:rsidR="00B8275D">
        <w:rPr>
          <w:sz w:val="22"/>
          <w:szCs w:val="22"/>
        </w:rPr>
        <w:t xml:space="preserve"> (</w:t>
      </w:r>
      <w:r w:rsidR="00D71C47" w:rsidRPr="00F20418">
        <w:rPr>
          <w:sz w:val="22"/>
          <w:szCs w:val="22"/>
        </w:rPr>
        <w:t>finanční prostředky na přísp</w:t>
      </w:r>
      <w:r w:rsidR="00F12F85" w:rsidRPr="00F20418">
        <w:rPr>
          <w:sz w:val="22"/>
          <w:szCs w:val="22"/>
        </w:rPr>
        <w:t xml:space="preserve">ěvek na penzijní připojištění </w:t>
      </w:r>
      <w:r w:rsidR="00D71C47" w:rsidRPr="00F20418">
        <w:rPr>
          <w:sz w:val="22"/>
          <w:szCs w:val="22"/>
        </w:rPr>
        <w:t>za měsíc prosinec 20</w:t>
      </w:r>
      <w:r w:rsidR="00F12F85" w:rsidRPr="00F20418">
        <w:rPr>
          <w:sz w:val="22"/>
          <w:szCs w:val="22"/>
        </w:rPr>
        <w:t>1</w:t>
      </w:r>
      <w:r w:rsidR="00960488">
        <w:rPr>
          <w:sz w:val="22"/>
          <w:szCs w:val="22"/>
        </w:rPr>
        <w:t>3</w:t>
      </w:r>
      <w:r w:rsidR="00B8275D">
        <w:rPr>
          <w:sz w:val="22"/>
          <w:szCs w:val="22"/>
        </w:rPr>
        <w:t>)</w:t>
      </w:r>
      <w:r w:rsidR="00D71C47" w:rsidRPr="00F20418">
        <w:rPr>
          <w:sz w:val="22"/>
          <w:szCs w:val="22"/>
        </w:rPr>
        <w:t xml:space="preserve">, z důvodu vyplacení této </w:t>
      </w:r>
      <w:r w:rsidR="00E10D30" w:rsidRPr="00F20418">
        <w:rPr>
          <w:sz w:val="22"/>
          <w:szCs w:val="22"/>
        </w:rPr>
        <w:t xml:space="preserve">celkové </w:t>
      </w:r>
      <w:r w:rsidR="00D71C47" w:rsidRPr="00F20418">
        <w:rPr>
          <w:sz w:val="22"/>
          <w:szCs w:val="22"/>
        </w:rPr>
        <w:t>částky až s vyplacením mzdových prostředků ve výplatním termínu, tj. 1</w:t>
      </w:r>
      <w:r w:rsidR="00960488">
        <w:rPr>
          <w:sz w:val="22"/>
          <w:szCs w:val="22"/>
        </w:rPr>
        <w:t>0</w:t>
      </w:r>
      <w:r w:rsidR="00D71C47" w:rsidRPr="00F20418">
        <w:rPr>
          <w:sz w:val="22"/>
          <w:szCs w:val="22"/>
        </w:rPr>
        <w:t xml:space="preserve">. </w:t>
      </w:r>
      <w:r w:rsidR="000A07B7">
        <w:rPr>
          <w:sz w:val="22"/>
          <w:szCs w:val="22"/>
        </w:rPr>
        <w:t>1.</w:t>
      </w:r>
      <w:r w:rsidR="00D71C47" w:rsidRPr="00F20418">
        <w:rPr>
          <w:sz w:val="22"/>
          <w:szCs w:val="22"/>
        </w:rPr>
        <w:t xml:space="preserve"> 201</w:t>
      </w:r>
      <w:r w:rsidR="00960488">
        <w:rPr>
          <w:sz w:val="22"/>
          <w:szCs w:val="22"/>
        </w:rPr>
        <w:t>4</w:t>
      </w:r>
      <w:r w:rsidR="00A51F11">
        <w:rPr>
          <w:sz w:val="22"/>
          <w:szCs w:val="22"/>
        </w:rPr>
        <w:t>.</w:t>
      </w:r>
      <w:r w:rsidR="00257B09">
        <w:rPr>
          <w:sz w:val="22"/>
          <w:szCs w:val="22"/>
        </w:rPr>
        <w:t xml:space="preserve"> </w:t>
      </w:r>
      <w:r w:rsidR="00D71C47" w:rsidRPr="00F20418">
        <w:rPr>
          <w:sz w:val="22"/>
          <w:szCs w:val="22"/>
        </w:rPr>
        <w:t>Bankovní poplatky za ved</w:t>
      </w:r>
      <w:r w:rsidR="00D71C47" w:rsidRPr="00F20418">
        <w:rPr>
          <w:sz w:val="22"/>
          <w:szCs w:val="22"/>
        </w:rPr>
        <w:t>e</w:t>
      </w:r>
      <w:r w:rsidR="00D71C47" w:rsidRPr="00F20418">
        <w:rPr>
          <w:sz w:val="22"/>
          <w:szCs w:val="22"/>
        </w:rPr>
        <w:t>ní účtu jsou hrazeny z výdajového účtu, úroky jsou vedeny na příjmovém účtu městské části.</w:t>
      </w:r>
    </w:p>
    <w:p w:rsidR="008D597B" w:rsidRDefault="008D597B" w:rsidP="008D597B">
      <w:pPr>
        <w:rPr>
          <w:sz w:val="22"/>
          <w:szCs w:val="22"/>
        </w:rPr>
      </w:pPr>
    </w:p>
    <w:p w:rsidR="008D597B" w:rsidRDefault="008D597B" w:rsidP="009C1277">
      <w:pPr>
        <w:pStyle w:val="Nadpis3"/>
      </w:pPr>
      <w:bookmarkStart w:id="43" w:name="_Toc385875224"/>
      <w:r w:rsidRPr="00734506">
        <w:t>F</w:t>
      </w:r>
      <w:r w:rsidR="00162CE1">
        <w:t>ond rozvoje bydlení</w:t>
      </w:r>
      <w:bookmarkEnd w:id="43"/>
    </w:p>
    <w:p w:rsidR="006667DE" w:rsidRPr="006667DE" w:rsidRDefault="006667DE" w:rsidP="00CD7F4C">
      <w:pPr>
        <w:jc w:val="both"/>
        <w:rPr>
          <w:sz w:val="22"/>
          <w:szCs w:val="22"/>
        </w:rPr>
      </w:pPr>
      <w:r>
        <w:rPr>
          <w:sz w:val="22"/>
          <w:szCs w:val="22"/>
        </w:rPr>
        <w:t xml:space="preserve">Fond je </w:t>
      </w:r>
      <w:proofErr w:type="gramStart"/>
      <w:r>
        <w:rPr>
          <w:sz w:val="22"/>
          <w:szCs w:val="22"/>
        </w:rPr>
        <w:t>určen k</w:t>
      </w:r>
      <w:r w:rsidR="00CD7F4C">
        <w:rPr>
          <w:sz w:val="22"/>
          <w:szCs w:val="22"/>
        </w:rPr>
        <w:t> ke</w:t>
      </w:r>
      <w:proofErr w:type="gramEnd"/>
      <w:r w:rsidR="00CD7F4C">
        <w:rPr>
          <w:sz w:val="22"/>
          <w:szCs w:val="22"/>
        </w:rPr>
        <w:t xml:space="preserve"> krytí potřeb spojených s pořízením, rekonstrukcemi a modernizacemi domovního a bytového fondu. </w:t>
      </w:r>
      <w:r w:rsidR="00CD7F4C" w:rsidRPr="00DE1591">
        <w:rPr>
          <w:sz w:val="22"/>
          <w:szCs w:val="22"/>
        </w:rPr>
        <w:t>Na fondu</w:t>
      </w:r>
      <w:r w:rsidR="00CD7F4C">
        <w:rPr>
          <w:sz w:val="22"/>
          <w:szCs w:val="22"/>
        </w:rPr>
        <w:t xml:space="preserve"> nebyl kromě úroků a bankovních poplatků žádný pohyb.</w:t>
      </w:r>
    </w:p>
    <w:p w:rsidR="00B17061" w:rsidRPr="009E14D2" w:rsidRDefault="0004564B" w:rsidP="0004564B">
      <w:pPr>
        <w:jc w:val="right"/>
        <w:rPr>
          <w:sz w:val="22"/>
          <w:szCs w:val="22"/>
        </w:rPr>
      </w:pPr>
      <w:r w:rsidRPr="009E14D2">
        <w:rPr>
          <w:sz w:val="22"/>
          <w:szCs w:val="22"/>
        </w:rPr>
        <w:t>v Kč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13"/>
        <w:gridCol w:w="1559"/>
      </w:tblGrid>
      <w:tr w:rsidR="008D597B" w:rsidRPr="00C4542A" w:rsidTr="00DE5346">
        <w:trPr>
          <w:trHeight w:val="330"/>
        </w:trPr>
        <w:tc>
          <w:tcPr>
            <w:tcW w:w="7513" w:type="dxa"/>
            <w:shd w:val="clear" w:color="auto" w:fill="EEECE1"/>
            <w:vAlign w:val="center"/>
          </w:tcPr>
          <w:p w:rsidR="008D597B" w:rsidRPr="00C4542A" w:rsidRDefault="008D597B" w:rsidP="0088702D">
            <w:pPr>
              <w:rPr>
                <w:b/>
                <w:sz w:val="20"/>
                <w:szCs w:val="20"/>
              </w:rPr>
            </w:pPr>
            <w:r w:rsidRPr="00C4542A">
              <w:rPr>
                <w:b/>
                <w:sz w:val="20"/>
                <w:szCs w:val="20"/>
              </w:rPr>
              <w:t>Počáteční stav účtu Fondu rozvoje bydlení</w:t>
            </w:r>
            <w:r w:rsidR="00AA76C9" w:rsidRPr="00C4542A">
              <w:rPr>
                <w:b/>
                <w:sz w:val="20"/>
                <w:szCs w:val="20"/>
              </w:rPr>
              <w:t xml:space="preserve"> </w:t>
            </w:r>
            <w:r w:rsidRPr="00C4542A">
              <w:rPr>
                <w:b/>
                <w:sz w:val="20"/>
                <w:szCs w:val="20"/>
              </w:rPr>
              <w:t>k 1.1.201</w:t>
            </w:r>
            <w:r w:rsidR="0088702D" w:rsidRPr="00C4542A">
              <w:rPr>
                <w:b/>
                <w:sz w:val="20"/>
                <w:szCs w:val="20"/>
              </w:rPr>
              <w:t>3</w:t>
            </w:r>
          </w:p>
        </w:tc>
        <w:tc>
          <w:tcPr>
            <w:tcW w:w="1559" w:type="dxa"/>
            <w:shd w:val="clear" w:color="auto" w:fill="EEECE1"/>
            <w:vAlign w:val="center"/>
          </w:tcPr>
          <w:p w:rsidR="008D597B" w:rsidRPr="00C4542A" w:rsidRDefault="00B47B2F" w:rsidP="0088702D">
            <w:pPr>
              <w:jc w:val="right"/>
              <w:rPr>
                <w:b/>
                <w:sz w:val="20"/>
                <w:szCs w:val="20"/>
              </w:rPr>
            </w:pPr>
            <w:r w:rsidRPr="00C4542A">
              <w:rPr>
                <w:b/>
                <w:sz w:val="20"/>
                <w:szCs w:val="20"/>
              </w:rPr>
              <w:t>10.</w:t>
            </w:r>
            <w:r w:rsidR="0088702D" w:rsidRPr="00C4542A">
              <w:rPr>
                <w:b/>
                <w:sz w:val="20"/>
                <w:szCs w:val="20"/>
              </w:rPr>
              <w:t>610.933,21</w:t>
            </w:r>
          </w:p>
        </w:tc>
      </w:tr>
      <w:tr w:rsidR="008D597B" w:rsidRPr="00C4542A" w:rsidTr="00600E9F">
        <w:trPr>
          <w:trHeight w:val="316"/>
        </w:trPr>
        <w:tc>
          <w:tcPr>
            <w:tcW w:w="7513" w:type="dxa"/>
            <w:tcBorders>
              <w:bottom w:val="single" w:sz="4" w:space="0" w:color="auto"/>
            </w:tcBorders>
            <w:vAlign w:val="center"/>
          </w:tcPr>
          <w:p w:rsidR="008D597B" w:rsidRPr="00C4542A" w:rsidRDefault="008D597B" w:rsidP="00A13F8B">
            <w:pPr>
              <w:rPr>
                <w:sz w:val="20"/>
                <w:szCs w:val="20"/>
              </w:rPr>
            </w:pPr>
            <w:r w:rsidRPr="00C4542A">
              <w:rPr>
                <w:sz w:val="20"/>
                <w:szCs w:val="20"/>
              </w:rPr>
              <w:t xml:space="preserve">Úroky </w:t>
            </w:r>
          </w:p>
        </w:tc>
        <w:tc>
          <w:tcPr>
            <w:tcW w:w="1559" w:type="dxa"/>
            <w:tcBorders>
              <w:bottom w:val="single" w:sz="4" w:space="0" w:color="auto"/>
            </w:tcBorders>
            <w:vAlign w:val="center"/>
          </w:tcPr>
          <w:p w:rsidR="008D597B" w:rsidRPr="00C4542A" w:rsidRDefault="0088702D" w:rsidP="0088702D">
            <w:pPr>
              <w:jc w:val="right"/>
              <w:rPr>
                <w:sz w:val="20"/>
                <w:szCs w:val="20"/>
              </w:rPr>
            </w:pPr>
            <w:r w:rsidRPr="00C4542A">
              <w:rPr>
                <w:sz w:val="20"/>
                <w:szCs w:val="20"/>
              </w:rPr>
              <w:t>53.690,52</w:t>
            </w:r>
          </w:p>
        </w:tc>
      </w:tr>
      <w:tr w:rsidR="008D597B" w:rsidRPr="00C4542A" w:rsidTr="00A13F8B">
        <w:trPr>
          <w:trHeight w:val="256"/>
        </w:trPr>
        <w:tc>
          <w:tcPr>
            <w:tcW w:w="7513" w:type="dxa"/>
            <w:tcBorders>
              <w:bottom w:val="double" w:sz="4" w:space="0" w:color="auto"/>
            </w:tcBorders>
            <w:vAlign w:val="center"/>
          </w:tcPr>
          <w:p w:rsidR="008D597B" w:rsidRPr="00C4542A" w:rsidRDefault="008D597B" w:rsidP="00A13F8B">
            <w:pPr>
              <w:rPr>
                <w:sz w:val="20"/>
                <w:szCs w:val="20"/>
              </w:rPr>
            </w:pPr>
            <w:r w:rsidRPr="00C4542A">
              <w:rPr>
                <w:sz w:val="20"/>
                <w:szCs w:val="20"/>
              </w:rPr>
              <w:t xml:space="preserve">Bankovní poplatky </w:t>
            </w:r>
          </w:p>
        </w:tc>
        <w:tc>
          <w:tcPr>
            <w:tcW w:w="1559" w:type="dxa"/>
            <w:tcBorders>
              <w:bottom w:val="double" w:sz="4" w:space="0" w:color="auto"/>
            </w:tcBorders>
            <w:vAlign w:val="center"/>
          </w:tcPr>
          <w:p w:rsidR="008D597B" w:rsidRPr="00C4542A" w:rsidRDefault="008D597B" w:rsidP="00A13F8B">
            <w:pPr>
              <w:jc w:val="right"/>
              <w:rPr>
                <w:sz w:val="20"/>
                <w:szCs w:val="20"/>
              </w:rPr>
            </w:pPr>
            <w:r w:rsidRPr="00C4542A">
              <w:rPr>
                <w:sz w:val="20"/>
                <w:szCs w:val="20"/>
              </w:rPr>
              <w:t>-774,</w:t>
            </w:r>
            <w:r w:rsidR="0070608A" w:rsidRPr="00C4542A">
              <w:rPr>
                <w:sz w:val="20"/>
                <w:szCs w:val="20"/>
              </w:rPr>
              <w:t>0</w:t>
            </w:r>
            <w:r w:rsidRPr="00C4542A">
              <w:rPr>
                <w:sz w:val="20"/>
                <w:szCs w:val="20"/>
              </w:rPr>
              <w:t>0</w:t>
            </w:r>
          </w:p>
        </w:tc>
      </w:tr>
      <w:tr w:rsidR="00A703C4" w:rsidRPr="00C4542A" w:rsidTr="00DE5346">
        <w:trPr>
          <w:trHeight w:val="374"/>
        </w:trPr>
        <w:tc>
          <w:tcPr>
            <w:tcW w:w="7513" w:type="dxa"/>
            <w:tcBorders>
              <w:top w:val="double" w:sz="4" w:space="0" w:color="auto"/>
              <w:bottom w:val="double" w:sz="4" w:space="0" w:color="auto"/>
            </w:tcBorders>
            <w:shd w:val="clear" w:color="auto" w:fill="EEECE1"/>
            <w:vAlign w:val="center"/>
          </w:tcPr>
          <w:p w:rsidR="00A703C4" w:rsidRPr="00C4542A" w:rsidRDefault="00A703C4" w:rsidP="0088702D">
            <w:pPr>
              <w:rPr>
                <w:b/>
                <w:color w:val="EEECE1"/>
                <w:sz w:val="20"/>
                <w:szCs w:val="20"/>
              </w:rPr>
            </w:pPr>
            <w:r w:rsidRPr="00C4542A">
              <w:rPr>
                <w:b/>
                <w:sz w:val="20"/>
                <w:szCs w:val="20"/>
              </w:rPr>
              <w:t>Stav Fondu rozvoje</w:t>
            </w:r>
            <w:r w:rsidR="00AA76C9" w:rsidRPr="00C4542A">
              <w:rPr>
                <w:b/>
                <w:sz w:val="20"/>
                <w:szCs w:val="20"/>
              </w:rPr>
              <w:t xml:space="preserve"> </w:t>
            </w:r>
            <w:r w:rsidRPr="00C4542A">
              <w:rPr>
                <w:b/>
                <w:sz w:val="20"/>
                <w:szCs w:val="20"/>
              </w:rPr>
              <w:t>bydlení k 31.12.201</w:t>
            </w:r>
            <w:r w:rsidR="0088702D" w:rsidRPr="00C4542A">
              <w:rPr>
                <w:b/>
                <w:sz w:val="20"/>
                <w:szCs w:val="20"/>
              </w:rPr>
              <w:t>3</w:t>
            </w:r>
          </w:p>
        </w:tc>
        <w:tc>
          <w:tcPr>
            <w:tcW w:w="1559" w:type="dxa"/>
            <w:tcBorders>
              <w:top w:val="double" w:sz="4" w:space="0" w:color="auto"/>
              <w:bottom w:val="double" w:sz="4" w:space="0" w:color="auto"/>
            </w:tcBorders>
            <w:shd w:val="clear" w:color="auto" w:fill="EEECE1"/>
            <w:vAlign w:val="center"/>
          </w:tcPr>
          <w:p w:rsidR="00A703C4" w:rsidRPr="00C4542A" w:rsidRDefault="00A703C4" w:rsidP="0088702D">
            <w:pPr>
              <w:jc w:val="right"/>
              <w:rPr>
                <w:b/>
                <w:color w:val="EEECE1"/>
                <w:sz w:val="20"/>
                <w:szCs w:val="20"/>
              </w:rPr>
            </w:pPr>
            <w:r w:rsidRPr="00C4542A">
              <w:rPr>
                <w:b/>
                <w:sz w:val="20"/>
                <w:szCs w:val="20"/>
              </w:rPr>
              <w:t>10.</w:t>
            </w:r>
            <w:r w:rsidR="00B47B2F" w:rsidRPr="00C4542A">
              <w:rPr>
                <w:b/>
                <w:sz w:val="20"/>
                <w:szCs w:val="20"/>
              </w:rPr>
              <w:t>6</w:t>
            </w:r>
            <w:r w:rsidR="0088702D" w:rsidRPr="00C4542A">
              <w:rPr>
                <w:b/>
                <w:sz w:val="20"/>
                <w:szCs w:val="20"/>
              </w:rPr>
              <w:t>63.849,73</w:t>
            </w:r>
          </w:p>
        </w:tc>
      </w:tr>
    </w:tbl>
    <w:p w:rsidR="00E92689" w:rsidRDefault="00E92689" w:rsidP="00E92689">
      <w:pPr>
        <w:rPr>
          <w:rStyle w:val="Siln"/>
          <w:b w:val="0"/>
        </w:rPr>
      </w:pPr>
    </w:p>
    <w:p w:rsidR="009C1277" w:rsidRDefault="009C1277" w:rsidP="009C1277">
      <w:pPr>
        <w:pStyle w:val="Nadpis3"/>
      </w:pPr>
      <w:bookmarkStart w:id="44" w:name="_Toc385875225"/>
      <w:r>
        <w:t>F</w:t>
      </w:r>
      <w:r w:rsidR="00162CE1">
        <w:t>ond</w:t>
      </w:r>
      <w:r>
        <w:t xml:space="preserve"> „Revitalizace osady Buďánka“</w:t>
      </w:r>
      <w:bookmarkEnd w:id="44"/>
    </w:p>
    <w:p w:rsidR="009C1277" w:rsidRPr="009C1277" w:rsidRDefault="009C1277" w:rsidP="009E14D2">
      <w:pPr>
        <w:jc w:val="both"/>
        <w:rPr>
          <w:sz w:val="22"/>
          <w:szCs w:val="22"/>
        </w:rPr>
      </w:pPr>
      <w:r w:rsidRPr="009C1277">
        <w:rPr>
          <w:sz w:val="22"/>
          <w:szCs w:val="22"/>
        </w:rPr>
        <w:t xml:space="preserve">Tento fond byl vytvořen jako dočasný peněžní fond </w:t>
      </w:r>
      <w:r>
        <w:rPr>
          <w:sz w:val="22"/>
          <w:szCs w:val="22"/>
        </w:rPr>
        <w:t>s účelovým určení ke shromažďování a použití finančních prostředků na revitalizaci bývalé dělnické osady Buďánka.</w:t>
      </w:r>
    </w:p>
    <w:p w:rsidR="009C1277" w:rsidRPr="009E14D2" w:rsidRDefault="009C1277" w:rsidP="009C1277">
      <w:pPr>
        <w:jc w:val="right"/>
        <w:rPr>
          <w:sz w:val="22"/>
          <w:szCs w:val="22"/>
        </w:rPr>
      </w:pPr>
      <w:r w:rsidRPr="009E14D2">
        <w:rPr>
          <w:sz w:val="22"/>
          <w:szCs w:val="22"/>
        </w:rPr>
        <w:t>v Kč</w:t>
      </w:r>
    </w:p>
    <w:tbl>
      <w:tblPr>
        <w:tblW w:w="0" w:type="auto"/>
        <w:tblInd w:w="108" w:type="dxa"/>
        <w:tblLayout w:type="fixed"/>
        <w:tblLook w:val="0000"/>
      </w:tblPr>
      <w:tblGrid>
        <w:gridCol w:w="7371"/>
        <w:gridCol w:w="1704"/>
      </w:tblGrid>
      <w:tr w:rsidR="009C1277" w:rsidRPr="00C4542A" w:rsidTr="009C1277">
        <w:trPr>
          <w:trHeight w:val="374"/>
        </w:trPr>
        <w:tc>
          <w:tcPr>
            <w:tcW w:w="7371" w:type="dxa"/>
            <w:tcBorders>
              <w:top w:val="single" w:sz="4" w:space="0" w:color="000000"/>
              <w:left w:val="single" w:sz="4" w:space="0" w:color="000000"/>
              <w:bottom w:val="single" w:sz="4" w:space="0" w:color="000000"/>
            </w:tcBorders>
            <w:shd w:val="clear" w:color="auto" w:fill="EEECE1"/>
            <w:vAlign w:val="center"/>
          </w:tcPr>
          <w:p w:rsidR="009C1277" w:rsidRPr="00C4542A" w:rsidRDefault="00961D4E" w:rsidP="009C1277">
            <w:pPr>
              <w:snapToGrid w:val="0"/>
              <w:rPr>
                <w:b/>
                <w:sz w:val="20"/>
                <w:szCs w:val="20"/>
                <w:shd w:val="clear" w:color="auto" w:fill="FFFF00"/>
              </w:rPr>
            </w:pPr>
            <w:r>
              <w:rPr>
                <w:b/>
                <w:sz w:val="20"/>
                <w:szCs w:val="20"/>
              </w:rPr>
              <w:t>Počáteční stav účtu f</w:t>
            </w:r>
            <w:r w:rsidR="009C1277" w:rsidRPr="00C4542A">
              <w:rPr>
                <w:b/>
                <w:sz w:val="20"/>
                <w:szCs w:val="20"/>
              </w:rPr>
              <w:t>ondu k 1.1.2013</w:t>
            </w:r>
          </w:p>
        </w:tc>
        <w:tc>
          <w:tcPr>
            <w:tcW w:w="170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9C1277" w:rsidRPr="00C4542A" w:rsidRDefault="009C1277" w:rsidP="009C1277">
            <w:pPr>
              <w:snapToGrid w:val="0"/>
              <w:jc w:val="right"/>
              <w:rPr>
                <w:b/>
                <w:sz w:val="20"/>
                <w:szCs w:val="20"/>
                <w:shd w:val="clear" w:color="auto" w:fill="FFFFFF"/>
              </w:rPr>
            </w:pPr>
            <w:r w:rsidRPr="00C4542A">
              <w:rPr>
                <w:b/>
                <w:sz w:val="20"/>
                <w:szCs w:val="20"/>
                <w:shd w:val="clear" w:color="auto" w:fill="FFFFFF"/>
              </w:rPr>
              <w:t>0,00</w:t>
            </w:r>
          </w:p>
        </w:tc>
      </w:tr>
      <w:tr w:rsidR="009C1277" w:rsidRPr="00C4542A" w:rsidTr="009C1277">
        <w:trPr>
          <w:trHeight w:val="374"/>
        </w:trPr>
        <w:tc>
          <w:tcPr>
            <w:tcW w:w="7371" w:type="dxa"/>
            <w:tcBorders>
              <w:top w:val="single" w:sz="4" w:space="0" w:color="000000"/>
              <w:left w:val="single" w:sz="4" w:space="0" w:color="000000"/>
              <w:bottom w:val="single" w:sz="4" w:space="0" w:color="000000"/>
            </w:tcBorders>
            <w:shd w:val="clear" w:color="auto" w:fill="auto"/>
            <w:vAlign w:val="center"/>
          </w:tcPr>
          <w:p w:rsidR="009C1277" w:rsidRPr="00C4542A" w:rsidRDefault="009C1277" w:rsidP="009C1277">
            <w:pPr>
              <w:snapToGrid w:val="0"/>
              <w:jc w:val="both"/>
              <w:rPr>
                <w:sz w:val="20"/>
                <w:szCs w:val="20"/>
              </w:rPr>
            </w:pPr>
            <w:r w:rsidRPr="00C4542A">
              <w:rPr>
                <w:sz w:val="20"/>
                <w:szCs w:val="20"/>
              </w:rPr>
              <w:t>Převod přijatého finančního daru od a.s. ČSOB na revitalizaci osady Buďánka dle schv</w:t>
            </w:r>
            <w:r w:rsidRPr="00C4542A">
              <w:rPr>
                <w:sz w:val="20"/>
                <w:szCs w:val="20"/>
              </w:rPr>
              <w:t>á</w:t>
            </w:r>
            <w:r w:rsidRPr="00C4542A">
              <w:rPr>
                <w:sz w:val="20"/>
                <w:szCs w:val="20"/>
              </w:rPr>
              <w:t>lení v ZMČ dne 19.</w:t>
            </w:r>
            <w:r w:rsidR="006667DE">
              <w:rPr>
                <w:sz w:val="20"/>
                <w:szCs w:val="20"/>
              </w:rPr>
              <w:t xml:space="preserve"> </w:t>
            </w:r>
            <w:r w:rsidRPr="00C4542A">
              <w:rPr>
                <w:sz w:val="20"/>
                <w:szCs w:val="20"/>
              </w:rPr>
              <w:t>12</w:t>
            </w:r>
            <w:r w:rsidR="006667DE">
              <w:rPr>
                <w:sz w:val="20"/>
                <w:szCs w:val="20"/>
              </w:rPr>
              <w:t xml:space="preserve"> </w:t>
            </w:r>
            <w:r w:rsidRPr="00C4542A">
              <w:rPr>
                <w:sz w:val="20"/>
                <w:szCs w:val="20"/>
              </w:rPr>
              <w:t>.2013</w:t>
            </w:r>
          </w:p>
        </w:tc>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1277" w:rsidRPr="00C4542A" w:rsidRDefault="009C1277" w:rsidP="009C1277">
            <w:pPr>
              <w:snapToGrid w:val="0"/>
              <w:jc w:val="right"/>
              <w:rPr>
                <w:sz w:val="20"/>
                <w:szCs w:val="20"/>
                <w:shd w:val="clear" w:color="auto" w:fill="FFFFFF"/>
              </w:rPr>
            </w:pPr>
            <w:r w:rsidRPr="00C4542A">
              <w:rPr>
                <w:sz w:val="20"/>
                <w:szCs w:val="20"/>
                <w:shd w:val="clear" w:color="auto" w:fill="FFFFFF"/>
              </w:rPr>
              <w:t>5.000.000,00</w:t>
            </w:r>
          </w:p>
        </w:tc>
      </w:tr>
      <w:tr w:rsidR="009C1277" w:rsidRPr="00C4542A" w:rsidTr="009C1277">
        <w:trPr>
          <w:trHeight w:val="418"/>
        </w:trPr>
        <w:tc>
          <w:tcPr>
            <w:tcW w:w="7371" w:type="dxa"/>
            <w:tcBorders>
              <w:top w:val="single" w:sz="4" w:space="0" w:color="000000"/>
              <w:left w:val="single" w:sz="4" w:space="0" w:color="000000"/>
              <w:bottom w:val="single" w:sz="4" w:space="0" w:color="000000"/>
            </w:tcBorders>
            <w:shd w:val="clear" w:color="auto" w:fill="EEECE1"/>
            <w:vAlign w:val="center"/>
          </w:tcPr>
          <w:p w:rsidR="009C1277" w:rsidRPr="00C4542A" w:rsidRDefault="00961D4E" w:rsidP="009C1277">
            <w:pPr>
              <w:snapToGrid w:val="0"/>
              <w:rPr>
                <w:b/>
                <w:sz w:val="20"/>
                <w:szCs w:val="20"/>
              </w:rPr>
            </w:pPr>
            <w:r>
              <w:rPr>
                <w:b/>
                <w:sz w:val="20"/>
                <w:szCs w:val="20"/>
              </w:rPr>
              <w:t>Stav f</w:t>
            </w:r>
            <w:r w:rsidR="009C1277" w:rsidRPr="00C4542A">
              <w:rPr>
                <w:b/>
                <w:sz w:val="20"/>
                <w:szCs w:val="20"/>
              </w:rPr>
              <w:t>ondu k 31.</w:t>
            </w:r>
            <w:r w:rsidR="006667DE">
              <w:rPr>
                <w:b/>
                <w:sz w:val="20"/>
                <w:szCs w:val="20"/>
              </w:rPr>
              <w:t xml:space="preserve"> </w:t>
            </w:r>
            <w:r w:rsidR="009C1277" w:rsidRPr="00C4542A">
              <w:rPr>
                <w:b/>
                <w:sz w:val="20"/>
                <w:szCs w:val="20"/>
              </w:rPr>
              <w:t>12.</w:t>
            </w:r>
            <w:r w:rsidR="006667DE">
              <w:rPr>
                <w:b/>
                <w:sz w:val="20"/>
                <w:szCs w:val="20"/>
              </w:rPr>
              <w:t xml:space="preserve"> </w:t>
            </w:r>
            <w:r w:rsidR="009C1277" w:rsidRPr="00C4542A">
              <w:rPr>
                <w:b/>
                <w:sz w:val="20"/>
                <w:szCs w:val="20"/>
              </w:rPr>
              <w:t>2013</w:t>
            </w:r>
          </w:p>
        </w:tc>
        <w:tc>
          <w:tcPr>
            <w:tcW w:w="170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9C1277" w:rsidRPr="00C4542A" w:rsidRDefault="009C1277" w:rsidP="009C1277">
            <w:pPr>
              <w:snapToGrid w:val="0"/>
              <w:jc w:val="right"/>
              <w:rPr>
                <w:b/>
                <w:sz w:val="20"/>
                <w:szCs w:val="20"/>
              </w:rPr>
            </w:pPr>
            <w:r w:rsidRPr="00C4542A">
              <w:rPr>
                <w:b/>
                <w:sz w:val="20"/>
                <w:szCs w:val="20"/>
              </w:rPr>
              <w:t>5.000.000,00</w:t>
            </w:r>
          </w:p>
        </w:tc>
      </w:tr>
    </w:tbl>
    <w:p w:rsidR="009C1277" w:rsidRDefault="009C1277" w:rsidP="009C1277">
      <w:pPr>
        <w:jc w:val="both"/>
        <w:rPr>
          <w:sz w:val="18"/>
          <w:szCs w:val="18"/>
        </w:rPr>
      </w:pPr>
    </w:p>
    <w:p w:rsidR="009C1277" w:rsidRDefault="009C1277" w:rsidP="009C1277">
      <w:pPr>
        <w:jc w:val="both"/>
        <w:rPr>
          <w:sz w:val="22"/>
          <w:szCs w:val="22"/>
        </w:rPr>
      </w:pPr>
      <w:r>
        <w:rPr>
          <w:sz w:val="22"/>
          <w:szCs w:val="22"/>
        </w:rPr>
        <w:t>Zastupitelstvem městské části bylo schváleno dne 19. 12. 2013 pod číslem usnesení 29/30/2013 přijetí daru od ČSOB, a.s. ve výši 5.000 tis. Kč na akci „Revitalizace osady Buďánka, Praha 5“ a uzavření darovací smlouvy s termínem použití výše uvedených prostředků do 30.</w:t>
      </w:r>
      <w:r w:rsidR="00DA1EE4">
        <w:rPr>
          <w:sz w:val="22"/>
          <w:szCs w:val="22"/>
        </w:rPr>
        <w:t xml:space="preserve"> </w:t>
      </w:r>
      <w:r>
        <w:rPr>
          <w:sz w:val="22"/>
          <w:szCs w:val="22"/>
        </w:rPr>
        <w:t>9.</w:t>
      </w:r>
      <w:r w:rsidR="00DA1EE4">
        <w:rPr>
          <w:sz w:val="22"/>
          <w:szCs w:val="22"/>
        </w:rPr>
        <w:t xml:space="preserve"> </w:t>
      </w:r>
      <w:r>
        <w:rPr>
          <w:sz w:val="22"/>
          <w:szCs w:val="22"/>
        </w:rPr>
        <w:t>2014. Přijaté prostředky byly uloženy na tento dočasný peněžní fond a předpokládá se jejich použití v roce 2014 k uvedenému účelu.</w:t>
      </w:r>
    </w:p>
    <w:p w:rsidR="009C1277" w:rsidRDefault="009C1277" w:rsidP="00E92689">
      <w:pPr>
        <w:rPr>
          <w:rStyle w:val="Siln"/>
          <w:b w:val="0"/>
        </w:rPr>
      </w:pPr>
    </w:p>
    <w:p w:rsidR="007D32CC" w:rsidRDefault="007D32CC" w:rsidP="00E92689">
      <w:pPr>
        <w:rPr>
          <w:rStyle w:val="Siln"/>
          <w:b w:val="0"/>
        </w:rPr>
      </w:pPr>
    </w:p>
    <w:p w:rsidR="007D32CC" w:rsidRDefault="007D32CC" w:rsidP="00E92689">
      <w:pPr>
        <w:rPr>
          <w:rStyle w:val="Siln"/>
          <w:b w:val="0"/>
        </w:rPr>
      </w:pPr>
    </w:p>
    <w:p w:rsidR="007D32CC" w:rsidRDefault="007D32CC" w:rsidP="00E92689">
      <w:pPr>
        <w:rPr>
          <w:rStyle w:val="Siln"/>
          <w:b w:val="0"/>
        </w:rPr>
      </w:pPr>
    </w:p>
    <w:p w:rsidR="00600E9F" w:rsidRDefault="00011388" w:rsidP="00AA76C9">
      <w:pPr>
        <w:pStyle w:val="Nadpis2"/>
        <w:rPr>
          <w:rStyle w:val="Siln"/>
          <w:sz w:val="24"/>
        </w:rPr>
      </w:pPr>
      <w:bookmarkStart w:id="45" w:name="_Toc385875226"/>
      <w:r w:rsidRPr="00BE23F1">
        <w:rPr>
          <w:rStyle w:val="Siln"/>
          <w:sz w:val="24"/>
        </w:rPr>
        <w:t>5</w:t>
      </w:r>
      <w:r w:rsidRPr="004F02C9">
        <w:rPr>
          <w:rStyle w:val="Siln"/>
          <w:sz w:val="24"/>
        </w:rPr>
        <w:t>. S</w:t>
      </w:r>
      <w:r w:rsidR="00AB0734" w:rsidRPr="004F02C9">
        <w:rPr>
          <w:rStyle w:val="Siln"/>
          <w:sz w:val="24"/>
        </w:rPr>
        <w:t>tav peněžních prostředků na bankovních účtech</w:t>
      </w:r>
      <w:bookmarkEnd w:id="45"/>
    </w:p>
    <w:p w:rsidR="0032315F" w:rsidRPr="009E14D2" w:rsidRDefault="0032315F" w:rsidP="003A3658">
      <w:pPr>
        <w:jc w:val="right"/>
        <w:rPr>
          <w:sz w:val="22"/>
          <w:szCs w:val="22"/>
        </w:rPr>
      </w:pPr>
      <w:r w:rsidRPr="009E14D2">
        <w:rPr>
          <w:sz w:val="22"/>
          <w:szCs w:val="22"/>
        </w:rPr>
        <w:t>v</w:t>
      </w:r>
      <w:r w:rsidR="005E1108" w:rsidRPr="009E14D2">
        <w:rPr>
          <w:sz w:val="22"/>
          <w:szCs w:val="22"/>
        </w:rPr>
        <w:t> Kč</w:t>
      </w:r>
    </w:p>
    <w:tbl>
      <w:tblPr>
        <w:tblW w:w="0" w:type="auto"/>
        <w:tblInd w:w="30" w:type="dxa"/>
        <w:tblLayout w:type="fixed"/>
        <w:tblCellMar>
          <w:left w:w="30" w:type="dxa"/>
          <w:right w:w="30" w:type="dxa"/>
        </w:tblCellMar>
        <w:tblLook w:val="0000"/>
      </w:tblPr>
      <w:tblGrid>
        <w:gridCol w:w="3261"/>
        <w:gridCol w:w="2976"/>
        <w:gridCol w:w="2835"/>
      </w:tblGrid>
      <w:tr w:rsidR="00257B09" w:rsidRPr="00FE03E8" w:rsidTr="00FE03E8">
        <w:trPr>
          <w:trHeight w:val="439"/>
        </w:trPr>
        <w:tc>
          <w:tcPr>
            <w:tcW w:w="3261" w:type="dxa"/>
            <w:tcBorders>
              <w:top w:val="single" w:sz="6" w:space="0" w:color="auto"/>
              <w:left w:val="single" w:sz="6" w:space="0" w:color="auto"/>
              <w:bottom w:val="nil"/>
              <w:right w:val="single" w:sz="6" w:space="0" w:color="auto"/>
            </w:tcBorders>
            <w:shd w:val="clear" w:color="auto" w:fill="EEECE1"/>
            <w:vAlign w:val="center"/>
          </w:tcPr>
          <w:p w:rsidR="00257B09" w:rsidRPr="00C4542A" w:rsidRDefault="00FE03E8" w:rsidP="00600E9F">
            <w:pPr>
              <w:autoSpaceDE w:val="0"/>
              <w:autoSpaceDN w:val="0"/>
              <w:adjustRightInd w:val="0"/>
              <w:jc w:val="center"/>
              <w:rPr>
                <w:b/>
                <w:bCs/>
                <w:color w:val="000000"/>
                <w:sz w:val="20"/>
                <w:szCs w:val="20"/>
              </w:rPr>
            </w:pPr>
            <w:r>
              <w:rPr>
                <w:b/>
                <w:bCs/>
                <w:color w:val="000000"/>
                <w:sz w:val="20"/>
                <w:szCs w:val="20"/>
              </w:rPr>
              <w:t>Druh účtů</w:t>
            </w:r>
          </w:p>
        </w:tc>
        <w:tc>
          <w:tcPr>
            <w:tcW w:w="2976" w:type="dxa"/>
            <w:tcBorders>
              <w:top w:val="single" w:sz="6" w:space="0" w:color="auto"/>
              <w:left w:val="single" w:sz="6" w:space="0" w:color="auto"/>
              <w:bottom w:val="nil"/>
              <w:right w:val="single" w:sz="6" w:space="0" w:color="auto"/>
            </w:tcBorders>
            <w:shd w:val="clear" w:color="auto" w:fill="EEECE1"/>
            <w:vAlign w:val="center"/>
          </w:tcPr>
          <w:p w:rsidR="00257B09" w:rsidRPr="00FE03E8" w:rsidRDefault="00257B09" w:rsidP="00600E9F">
            <w:pPr>
              <w:autoSpaceDE w:val="0"/>
              <w:autoSpaceDN w:val="0"/>
              <w:adjustRightInd w:val="0"/>
              <w:jc w:val="center"/>
              <w:rPr>
                <w:b/>
                <w:bCs/>
                <w:color w:val="000000"/>
                <w:sz w:val="20"/>
                <w:szCs w:val="20"/>
              </w:rPr>
            </w:pPr>
            <w:r w:rsidRPr="00FE03E8">
              <w:rPr>
                <w:b/>
                <w:bCs/>
                <w:color w:val="000000"/>
                <w:sz w:val="20"/>
                <w:szCs w:val="20"/>
              </w:rPr>
              <w:t>Stav k 31.12.2013</w:t>
            </w:r>
          </w:p>
        </w:tc>
        <w:tc>
          <w:tcPr>
            <w:tcW w:w="2835" w:type="dxa"/>
            <w:tcBorders>
              <w:top w:val="single" w:sz="6" w:space="0" w:color="auto"/>
              <w:left w:val="single" w:sz="6" w:space="0" w:color="auto"/>
              <w:bottom w:val="nil"/>
              <w:right w:val="single" w:sz="6" w:space="0" w:color="auto"/>
            </w:tcBorders>
            <w:shd w:val="clear" w:color="auto" w:fill="EEECE1"/>
            <w:vAlign w:val="center"/>
          </w:tcPr>
          <w:p w:rsidR="00257B09" w:rsidRPr="00FE03E8" w:rsidRDefault="00257B09" w:rsidP="002F7439">
            <w:pPr>
              <w:autoSpaceDE w:val="0"/>
              <w:autoSpaceDN w:val="0"/>
              <w:adjustRightInd w:val="0"/>
              <w:jc w:val="center"/>
              <w:rPr>
                <w:b/>
                <w:bCs/>
                <w:color w:val="000000"/>
                <w:sz w:val="20"/>
                <w:szCs w:val="20"/>
              </w:rPr>
            </w:pPr>
            <w:r w:rsidRPr="00FE03E8">
              <w:rPr>
                <w:b/>
                <w:bCs/>
                <w:color w:val="000000"/>
                <w:sz w:val="20"/>
                <w:szCs w:val="20"/>
              </w:rPr>
              <w:t>Stav k 31.12.2012</w:t>
            </w:r>
          </w:p>
        </w:tc>
      </w:tr>
      <w:tr w:rsidR="00257B09" w:rsidRPr="00FE03E8" w:rsidTr="00FE03E8">
        <w:trPr>
          <w:trHeight w:val="298"/>
        </w:trPr>
        <w:tc>
          <w:tcPr>
            <w:tcW w:w="3261" w:type="dxa"/>
            <w:tcBorders>
              <w:top w:val="single" w:sz="12"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600E9F">
            <w:pPr>
              <w:autoSpaceDE w:val="0"/>
              <w:autoSpaceDN w:val="0"/>
              <w:adjustRightInd w:val="0"/>
              <w:rPr>
                <w:color w:val="000000"/>
                <w:sz w:val="20"/>
                <w:szCs w:val="20"/>
              </w:rPr>
            </w:pPr>
            <w:r w:rsidRPr="00FE03E8">
              <w:rPr>
                <w:color w:val="000000"/>
                <w:sz w:val="20"/>
                <w:szCs w:val="20"/>
              </w:rPr>
              <w:t xml:space="preserve">Základní </w:t>
            </w:r>
            <w:r w:rsidR="00A263C6" w:rsidRPr="00FE03E8">
              <w:rPr>
                <w:color w:val="000000"/>
                <w:sz w:val="20"/>
                <w:szCs w:val="20"/>
              </w:rPr>
              <w:t xml:space="preserve">běžný </w:t>
            </w:r>
            <w:r w:rsidRPr="00FE03E8">
              <w:rPr>
                <w:color w:val="000000"/>
                <w:sz w:val="20"/>
                <w:szCs w:val="20"/>
              </w:rPr>
              <w:t xml:space="preserve">účet </w:t>
            </w:r>
          </w:p>
        </w:tc>
        <w:tc>
          <w:tcPr>
            <w:tcW w:w="2976" w:type="dxa"/>
            <w:tcBorders>
              <w:top w:val="single" w:sz="12"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351854">
            <w:pPr>
              <w:autoSpaceDE w:val="0"/>
              <w:autoSpaceDN w:val="0"/>
              <w:adjustRightInd w:val="0"/>
              <w:jc w:val="right"/>
              <w:rPr>
                <w:color w:val="000000"/>
                <w:sz w:val="20"/>
                <w:szCs w:val="20"/>
              </w:rPr>
            </w:pPr>
            <w:r w:rsidRPr="00FE03E8">
              <w:rPr>
                <w:color w:val="000000"/>
                <w:sz w:val="20"/>
                <w:szCs w:val="20"/>
              </w:rPr>
              <w:t>79</w:t>
            </w:r>
            <w:r w:rsidR="00351854" w:rsidRPr="00FE03E8">
              <w:rPr>
                <w:color w:val="000000"/>
                <w:sz w:val="20"/>
                <w:szCs w:val="20"/>
              </w:rPr>
              <w:t>.</w:t>
            </w:r>
            <w:r w:rsidRPr="00FE03E8">
              <w:rPr>
                <w:color w:val="000000"/>
                <w:sz w:val="20"/>
                <w:szCs w:val="20"/>
              </w:rPr>
              <w:t>277</w:t>
            </w:r>
            <w:r w:rsidR="00351854" w:rsidRPr="00FE03E8">
              <w:rPr>
                <w:color w:val="000000"/>
                <w:sz w:val="20"/>
                <w:szCs w:val="20"/>
              </w:rPr>
              <w:t>.</w:t>
            </w:r>
            <w:r w:rsidRPr="00FE03E8">
              <w:rPr>
                <w:color w:val="000000"/>
                <w:sz w:val="20"/>
                <w:szCs w:val="20"/>
              </w:rPr>
              <w:t>614,60</w:t>
            </w:r>
          </w:p>
        </w:tc>
        <w:tc>
          <w:tcPr>
            <w:tcW w:w="2835" w:type="dxa"/>
            <w:tcBorders>
              <w:top w:val="single" w:sz="12"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351854">
            <w:pPr>
              <w:autoSpaceDE w:val="0"/>
              <w:autoSpaceDN w:val="0"/>
              <w:adjustRightInd w:val="0"/>
              <w:jc w:val="right"/>
              <w:rPr>
                <w:color w:val="000000"/>
                <w:sz w:val="20"/>
                <w:szCs w:val="20"/>
              </w:rPr>
            </w:pPr>
            <w:r w:rsidRPr="00FE03E8">
              <w:rPr>
                <w:color w:val="000000"/>
                <w:sz w:val="20"/>
                <w:szCs w:val="20"/>
              </w:rPr>
              <w:t>100</w:t>
            </w:r>
            <w:r w:rsidR="00351854" w:rsidRPr="00FE03E8">
              <w:rPr>
                <w:color w:val="000000"/>
                <w:sz w:val="20"/>
                <w:szCs w:val="20"/>
              </w:rPr>
              <w:t>.</w:t>
            </w:r>
            <w:r w:rsidRPr="00FE03E8">
              <w:rPr>
                <w:color w:val="000000"/>
                <w:sz w:val="20"/>
                <w:szCs w:val="20"/>
              </w:rPr>
              <w:t>406</w:t>
            </w:r>
            <w:r w:rsidR="00351854" w:rsidRPr="00FE03E8">
              <w:rPr>
                <w:color w:val="000000"/>
                <w:sz w:val="20"/>
                <w:szCs w:val="20"/>
              </w:rPr>
              <w:t>.</w:t>
            </w:r>
            <w:r w:rsidRPr="00FE03E8">
              <w:rPr>
                <w:color w:val="000000"/>
                <w:sz w:val="20"/>
                <w:szCs w:val="20"/>
              </w:rPr>
              <w:t>771,58</w:t>
            </w:r>
          </w:p>
        </w:tc>
      </w:tr>
      <w:tr w:rsidR="00257B09" w:rsidRPr="00FE03E8" w:rsidTr="00FE03E8">
        <w:trPr>
          <w:trHeight w:val="262"/>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600E9F">
            <w:pPr>
              <w:autoSpaceDE w:val="0"/>
              <w:autoSpaceDN w:val="0"/>
              <w:adjustRightInd w:val="0"/>
              <w:rPr>
                <w:color w:val="000000"/>
                <w:sz w:val="20"/>
                <w:szCs w:val="20"/>
              </w:rPr>
            </w:pPr>
            <w:r w:rsidRPr="00FE03E8">
              <w:rPr>
                <w:color w:val="000000"/>
                <w:sz w:val="20"/>
                <w:szCs w:val="20"/>
              </w:rPr>
              <w:t>Dotace z EU</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351854">
            <w:pPr>
              <w:autoSpaceDE w:val="0"/>
              <w:autoSpaceDN w:val="0"/>
              <w:adjustRightInd w:val="0"/>
              <w:jc w:val="right"/>
              <w:rPr>
                <w:color w:val="000000"/>
                <w:sz w:val="20"/>
                <w:szCs w:val="20"/>
              </w:rPr>
            </w:pPr>
            <w:r w:rsidRPr="00FE03E8">
              <w:rPr>
                <w:color w:val="000000"/>
                <w:sz w:val="20"/>
                <w:szCs w:val="20"/>
              </w:rPr>
              <w:t>19</w:t>
            </w:r>
            <w:r w:rsidR="00351854" w:rsidRPr="00FE03E8">
              <w:rPr>
                <w:color w:val="000000"/>
                <w:sz w:val="20"/>
                <w:szCs w:val="20"/>
              </w:rPr>
              <w:t>.</w:t>
            </w:r>
            <w:r w:rsidRPr="00FE03E8">
              <w:rPr>
                <w:color w:val="000000"/>
                <w:sz w:val="20"/>
                <w:szCs w:val="20"/>
              </w:rPr>
              <w:t>732</w:t>
            </w:r>
            <w:r w:rsidR="00351854" w:rsidRPr="00FE03E8">
              <w:rPr>
                <w:color w:val="000000"/>
                <w:sz w:val="20"/>
                <w:szCs w:val="20"/>
              </w:rPr>
              <w:t>.</w:t>
            </w:r>
            <w:r w:rsidRPr="00FE03E8">
              <w:rPr>
                <w:color w:val="000000"/>
                <w:sz w:val="20"/>
                <w:szCs w:val="20"/>
              </w:rPr>
              <w:t>577,50</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351854">
            <w:pPr>
              <w:autoSpaceDE w:val="0"/>
              <w:autoSpaceDN w:val="0"/>
              <w:adjustRightInd w:val="0"/>
              <w:jc w:val="right"/>
              <w:rPr>
                <w:color w:val="000000"/>
                <w:sz w:val="20"/>
                <w:szCs w:val="20"/>
              </w:rPr>
            </w:pPr>
            <w:r w:rsidRPr="00FE03E8">
              <w:rPr>
                <w:color w:val="000000"/>
                <w:sz w:val="20"/>
                <w:szCs w:val="20"/>
              </w:rPr>
              <w:t>19</w:t>
            </w:r>
            <w:r w:rsidR="00351854" w:rsidRPr="00FE03E8">
              <w:rPr>
                <w:color w:val="000000"/>
                <w:sz w:val="20"/>
                <w:szCs w:val="20"/>
              </w:rPr>
              <w:t>.</w:t>
            </w:r>
            <w:r w:rsidRPr="00FE03E8">
              <w:rPr>
                <w:color w:val="000000"/>
                <w:sz w:val="20"/>
                <w:szCs w:val="20"/>
              </w:rPr>
              <w:t>912</w:t>
            </w:r>
            <w:r w:rsidR="00351854" w:rsidRPr="00FE03E8">
              <w:rPr>
                <w:color w:val="000000"/>
                <w:sz w:val="20"/>
                <w:szCs w:val="20"/>
              </w:rPr>
              <w:t>.</w:t>
            </w:r>
            <w:r w:rsidRPr="00FE03E8">
              <w:rPr>
                <w:color w:val="000000"/>
                <w:sz w:val="20"/>
                <w:szCs w:val="20"/>
              </w:rPr>
              <w:t>867,50</w:t>
            </w:r>
          </w:p>
        </w:tc>
      </w:tr>
      <w:tr w:rsidR="00257B09" w:rsidRPr="00FE03E8" w:rsidTr="00FE03E8">
        <w:trPr>
          <w:trHeight w:val="279"/>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600E9F">
            <w:pPr>
              <w:autoSpaceDE w:val="0"/>
              <w:autoSpaceDN w:val="0"/>
              <w:adjustRightInd w:val="0"/>
              <w:rPr>
                <w:color w:val="000000"/>
                <w:sz w:val="20"/>
                <w:szCs w:val="20"/>
              </w:rPr>
            </w:pPr>
            <w:r w:rsidRPr="00FE03E8">
              <w:rPr>
                <w:color w:val="000000"/>
                <w:sz w:val="20"/>
                <w:szCs w:val="20"/>
              </w:rPr>
              <w:t xml:space="preserve">Výdajový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351854">
            <w:pPr>
              <w:autoSpaceDE w:val="0"/>
              <w:autoSpaceDN w:val="0"/>
              <w:adjustRightInd w:val="0"/>
              <w:jc w:val="right"/>
              <w:rPr>
                <w:color w:val="000000"/>
                <w:sz w:val="20"/>
                <w:szCs w:val="20"/>
              </w:rPr>
            </w:pPr>
            <w:r w:rsidRPr="00FE03E8">
              <w:rPr>
                <w:color w:val="000000"/>
                <w:sz w:val="20"/>
                <w:szCs w:val="20"/>
              </w:rPr>
              <w:t>22</w:t>
            </w:r>
            <w:r w:rsidR="00351854" w:rsidRPr="00FE03E8">
              <w:rPr>
                <w:color w:val="000000"/>
                <w:sz w:val="20"/>
                <w:szCs w:val="20"/>
              </w:rPr>
              <w:t>.</w:t>
            </w:r>
            <w:r w:rsidRPr="00FE03E8">
              <w:rPr>
                <w:color w:val="000000"/>
                <w:sz w:val="20"/>
                <w:szCs w:val="20"/>
              </w:rPr>
              <w:t>070</w:t>
            </w:r>
            <w:r w:rsidR="00351854" w:rsidRPr="00FE03E8">
              <w:rPr>
                <w:color w:val="000000"/>
                <w:sz w:val="20"/>
                <w:szCs w:val="20"/>
              </w:rPr>
              <w:t>.</w:t>
            </w:r>
            <w:r w:rsidRPr="00FE03E8">
              <w:rPr>
                <w:color w:val="000000"/>
                <w:sz w:val="20"/>
                <w:szCs w:val="20"/>
              </w:rPr>
              <w:t>123,93</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351854">
            <w:pPr>
              <w:autoSpaceDE w:val="0"/>
              <w:autoSpaceDN w:val="0"/>
              <w:adjustRightInd w:val="0"/>
              <w:jc w:val="right"/>
              <w:rPr>
                <w:color w:val="000000"/>
                <w:sz w:val="20"/>
                <w:szCs w:val="20"/>
              </w:rPr>
            </w:pPr>
            <w:r w:rsidRPr="00FE03E8">
              <w:rPr>
                <w:color w:val="000000"/>
                <w:sz w:val="20"/>
                <w:szCs w:val="20"/>
              </w:rPr>
              <w:t>3</w:t>
            </w:r>
            <w:r w:rsidR="00351854" w:rsidRPr="00FE03E8">
              <w:rPr>
                <w:color w:val="000000"/>
                <w:sz w:val="20"/>
                <w:szCs w:val="20"/>
              </w:rPr>
              <w:t>9.</w:t>
            </w:r>
            <w:r w:rsidRPr="00FE03E8">
              <w:rPr>
                <w:color w:val="000000"/>
                <w:sz w:val="20"/>
                <w:szCs w:val="20"/>
              </w:rPr>
              <w:t>406</w:t>
            </w:r>
            <w:r w:rsidR="00351854" w:rsidRPr="00FE03E8">
              <w:rPr>
                <w:color w:val="000000"/>
                <w:sz w:val="20"/>
                <w:szCs w:val="20"/>
              </w:rPr>
              <w:t>.</w:t>
            </w:r>
            <w:r w:rsidRPr="00FE03E8">
              <w:rPr>
                <w:color w:val="000000"/>
                <w:sz w:val="20"/>
                <w:szCs w:val="20"/>
              </w:rPr>
              <w:t>149,52</w:t>
            </w:r>
          </w:p>
        </w:tc>
      </w:tr>
      <w:tr w:rsidR="00257B09" w:rsidRPr="00FE03E8" w:rsidTr="00FE03E8">
        <w:trPr>
          <w:trHeight w:val="270"/>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A263C6">
            <w:pPr>
              <w:autoSpaceDE w:val="0"/>
              <w:autoSpaceDN w:val="0"/>
              <w:adjustRightInd w:val="0"/>
              <w:rPr>
                <w:color w:val="000000"/>
                <w:sz w:val="20"/>
                <w:szCs w:val="20"/>
              </w:rPr>
            </w:pPr>
            <w:r w:rsidRPr="00FE03E8">
              <w:rPr>
                <w:color w:val="000000"/>
                <w:sz w:val="20"/>
                <w:szCs w:val="20"/>
              </w:rPr>
              <w:t>Výdajový účet</w:t>
            </w:r>
            <w:r w:rsidR="00A263C6" w:rsidRPr="00FE03E8">
              <w:rPr>
                <w:color w:val="000000"/>
                <w:sz w:val="20"/>
                <w:szCs w:val="20"/>
              </w:rPr>
              <w:t xml:space="preserve"> </w:t>
            </w:r>
            <w:r w:rsidRPr="00FE03E8">
              <w:rPr>
                <w:color w:val="000000"/>
                <w:sz w:val="20"/>
                <w:szCs w:val="20"/>
              </w:rPr>
              <w:t>inkas</w:t>
            </w:r>
            <w:r w:rsidR="00FE03E8">
              <w:rPr>
                <w:color w:val="000000"/>
                <w:sz w:val="20"/>
                <w:szCs w:val="20"/>
              </w:rPr>
              <w:t>ní</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351854">
            <w:pPr>
              <w:autoSpaceDE w:val="0"/>
              <w:autoSpaceDN w:val="0"/>
              <w:adjustRightInd w:val="0"/>
              <w:jc w:val="right"/>
              <w:rPr>
                <w:color w:val="000000"/>
                <w:sz w:val="20"/>
                <w:szCs w:val="20"/>
              </w:rPr>
            </w:pPr>
            <w:r w:rsidRPr="00FE03E8">
              <w:rPr>
                <w:color w:val="000000"/>
                <w:sz w:val="20"/>
                <w:szCs w:val="20"/>
              </w:rPr>
              <w:t>144</w:t>
            </w:r>
            <w:r w:rsidR="00351854" w:rsidRPr="00FE03E8">
              <w:rPr>
                <w:color w:val="000000"/>
                <w:sz w:val="20"/>
                <w:szCs w:val="20"/>
              </w:rPr>
              <w:t>.</w:t>
            </w:r>
            <w:r w:rsidRPr="00FE03E8">
              <w:rPr>
                <w:color w:val="000000"/>
                <w:sz w:val="20"/>
                <w:szCs w:val="20"/>
              </w:rPr>
              <w:t>212,87</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351854">
            <w:pPr>
              <w:autoSpaceDE w:val="0"/>
              <w:autoSpaceDN w:val="0"/>
              <w:adjustRightInd w:val="0"/>
              <w:jc w:val="right"/>
              <w:rPr>
                <w:color w:val="000000"/>
                <w:sz w:val="20"/>
                <w:szCs w:val="20"/>
              </w:rPr>
            </w:pPr>
            <w:r w:rsidRPr="00FE03E8">
              <w:rPr>
                <w:color w:val="000000"/>
                <w:sz w:val="20"/>
                <w:szCs w:val="20"/>
              </w:rPr>
              <w:t>307</w:t>
            </w:r>
            <w:r w:rsidR="00351854" w:rsidRPr="00FE03E8">
              <w:rPr>
                <w:color w:val="000000"/>
                <w:sz w:val="20"/>
                <w:szCs w:val="20"/>
              </w:rPr>
              <w:t>.</w:t>
            </w:r>
            <w:r w:rsidRPr="00FE03E8">
              <w:rPr>
                <w:color w:val="000000"/>
                <w:sz w:val="20"/>
                <w:szCs w:val="20"/>
              </w:rPr>
              <w:t>897,65</w:t>
            </w:r>
          </w:p>
        </w:tc>
      </w:tr>
      <w:tr w:rsidR="00257B09" w:rsidRPr="00FE03E8" w:rsidTr="00FE03E8">
        <w:trPr>
          <w:trHeight w:val="259"/>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600E9F">
            <w:pPr>
              <w:autoSpaceDE w:val="0"/>
              <w:autoSpaceDN w:val="0"/>
              <w:adjustRightInd w:val="0"/>
              <w:rPr>
                <w:color w:val="000000"/>
                <w:sz w:val="20"/>
                <w:szCs w:val="20"/>
              </w:rPr>
            </w:pPr>
            <w:r w:rsidRPr="00FE03E8">
              <w:rPr>
                <w:color w:val="000000"/>
                <w:sz w:val="20"/>
                <w:szCs w:val="20"/>
              </w:rPr>
              <w:t xml:space="preserve">Příjmový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351854">
            <w:pPr>
              <w:autoSpaceDE w:val="0"/>
              <w:autoSpaceDN w:val="0"/>
              <w:adjustRightInd w:val="0"/>
              <w:jc w:val="right"/>
              <w:rPr>
                <w:color w:val="000000"/>
                <w:sz w:val="20"/>
                <w:szCs w:val="20"/>
              </w:rPr>
            </w:pPr>
            <w:r w:rsidRPr="00FE03E8">
              <w:rPr>
                <w:color w:val="000000"/>
                <w:sz w:val="20"/>
                <w:szCs w:val="20"/>
              </w:rPr>
              <w:t>239</w:t>
            </w:r>
            <w:r w:rsidR="00351854" w:rsidRPr="00FE03E8">
              <w:rPr>
                <w:color w:val="000000"/>
                <w:sz w:val="20"/>
                <w:szCs w:val="20"/>
              </w:rPr>
              <w:t>.</w:t>
            </w:r>
            <w:r w:rsidRPr="00FE03E8">
              <w:rPr>
                <w:color w:val="000000"/>
                <w:sz w:val="20"/>
                <w:szCs w:val="20"/>
              </w:rPr>
              <w:t>579,82</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351854">
            <w:pPr>
              <w:autoSpaceDE w:val="0"/>
              <w:autoSpaceDN w:val="0"/>
              <w:adjustRightInd w:val="0"/>
              <w:jc w:val="right"/>
              <w:rPr>
                <w:color w:val="000000"/>
                <w:sz w:val="20"/>
                <w:szCs w:val="20"/>
              </w:rPr>
            </w:pPr>
            <w:r w:rsidRPr="00FE03E8">
              <w:rPr>
                <w:color w:val="000000"/>
                <w:sz w:val="20"/>
                <w:szCs w:val="20"/>
              </w:rPr>
              <w:t>514</w:t>
            </w:r>
            <w:r w:rsidR="00351854" w:rsidRPr="00FE03E8">
              <w:rPr>
                <w:color w:val="000000"/>
                <w:sz w:val="20"/>
                <w:szCs w:val="20"/>
              </w:rPr>
              <w:t>.</w:t>
            </w:r>
            <w:r w:rsidRPr="00FE03E8">
              <w:rPr>
                <w:color w:val="000000"/>
                <w:sz w:val="20"/>
                <w:szCs w:val="20"/>
              </w:rPr>
              <w:t>363,78</w:t>
            </w:r>
          </w:p>
        </w:tc>
      </w:tr>
      <w:tr w:rsidR="00257B09" w:rsidRPr="00FE03E8" w:rsidTr="00FE03E8">
        <w:trPr>
          <w:trHeight w:val="277"/>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600E9F">
            <w:pPr>
              <w:autoSpaceDE w:val="0"/>
              <w:autoSpaceDN w:val="0"/>
              <w:adjustRightInd w:val="0"/>
              <w:rPr>
                <w:color w:val="000000"/>
                <w:sz w:val="20"/>
                <w:szCs w:val="20"/>
              </w:rPr>
            </w:pPr>
            <w:r w:rsidRPr="00FE03E8">
              <w:rPr>
                <w:color w:val="000000"/>
                <w:sz w:val="20"/>
                <w:szCs w:val="20"/>
              </w:rPr>
              <w:t xml:space="preserve">Peněžní fondy </w:t>
            </w:r>
            <w:r w:rsidR="00A263C6" w:rsidRPr="00FE03E8">
              <w:rPr>
                <w:color w:val="000000"/>
                <w:sz w:val="20"/>
                <w:szCs w:val="20"/>
              </w:rPr>
              <w:t>MČ</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FE03E8">
            <w:pPr>
              <w:autoSpaceDE w:val="0"/>
              <w:autoSpaceDN w:val="0"/>
              <w:adjustRightInd w:val="0"/>
              <w:jc w:val="right"/>
              <w:rPr>
                <w:color w:val="000000"/>
                <w:sz w:val="20"/>
                <w:szCs w:val="20"/>
              </w:rPr>
            </w:pPr>
            <w:r w:rsidRPr="00FE03E8">
              <w:rPr>
                <w:color w:val="000000"/>
                <w:sz w:val="20"/>
                <w:szCs w:val="20"/>
              </w:rPr>
              <w:t>497</w:t>
            </w:r>
            <w:r w:rsidR="00FE03E8" w:rsidRPr="00FE03E8">
              <w:rPr>
                <w:color w:val="000000"/>
                <w:sz w:val="20"/>
                <w:szCs w:val="20"/>
              </w:rPr>
              <w:t>.</w:t>
            </w:r>
            <w:r w:rsidRPr="00FE03E8">
              <w:rPr>
                <w:color w:val="000000"/>
                <w:sz w:val="20"/>
                <w:szCs w:val="20"/>
              </w:rPr>
              <w:t>421</w:t>
            </w:r>
            <w:r w:rsidR="00FE03E8" w:rsidRPr="00FE03E8">
              <w:rPr>
                <w:color w:val="000000"/>
                <w:sz w:val="20"/>
                <w:szCs w:val="20"/>
              </w:rPr>
              <w:t>.</w:t>
            </w:r>
            <w:r w:rsidRPr="00FE03E8">
              <w:rPr>
                <w:color w:val="000000"/>
                <w:sz w:val="20"/>
                <w:szCs w:val="20"/>
              </w:rPr>
              <w:t>020,73</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FE03E8">
            <w:pPr>
              <w:autoSpaceDE w:val="0"/>
              <w:autoSpaceDN w:val="0"/>
              <w:adjustRightInd w:val="0"/>
              <w:jc w:val="right"/>
              <w:rPr>
                <w:color w:val="000000"/>
                <w:sz w:val="20"/>
                <w:szCs w:val="20"/>
              </w:rPr>
            </w:pPr>
            <w:r w:rsidRPr="00FE03E8">
              <w:rPr>
                <w:color w:val="000000"/>
                <w:sz w:val="20"/>
                <w:szCs w:val="20"/>
              </w:rPr>
              <w:t>244</w:t>
            </w:r>
            <w:r w:rsidR="00FE03E8" w:rsidRPr="00FE03E8">
              <w:rPr>
                <w:color w:val="000000"/>
                <w:sz w:val="20"/>
                <w:szCs w:val="20"/>
              </w:rPr>
              <w:t>.</w:t>
            </w:r>
            <w:r w:rsidRPr="00FE03E8">
              <w:rPr>
                <w:color w:val="000000"/>
                <w:sz w:val="20"/>
                <w:szCs w:val="20"/>
              </w:rPr>
              <w:t>701</w:t>
            </w:r>
            <w:r w:rsidR="00FE03E8" w:rsidRPr="00FE03E8">
              <w:rPr>
                <w:color w:val="000000"/>
                <w:sz w:val="20"/>
                <w:szCs w:val="20"/>
              </w:rPr>
              <w:t>.</w:t>
            </w:r>
            <w:r w:rsidRPr="00FE03E8">
              <w:rPr>
                <w:color w:val="000000"/>
                <w:sz w:val="20"/>
                <w:szCs w:val="20"/>
              </w:rPr>
              <w:t>912,44</w:t>
            </w:r>
          </w:p>
        </w:tc>
      </w:tr>
      <w:tr w:rsidR="00257B09" w:rsidRPr="00FE03E8" w:rsidTr="00FE03E8">
        <w:trPr>
          <w:trHeight w:val="267"/>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600E9F">
            <w:pPr>
              <w:autoSpaceDE w:val="0"/>
              <w:autoSpaceDN w:val="0"/>
              <w:adjustRightInd w:val="0"/>
              <w:rPr>
                <w:color w:val="000000"/>
                <w:sz w:val="20"/>
                <w:szCs w:val="20"/>
              </w:rPr>
            </w:pPr>
            <w:r w:rsidRPr="00FE03E8">
              <w:rPr>
                <w:color w:val="000000"/>
                <w:sz w:val="20"/>
                <w:szCs w:val="20"/>
              </w:rPr>
              <w:t xml:space="preserve">Depozitní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FE03E8">
            <w:pPr>
              <w:autoSpaceDE w:val="0"/>
              <w:autoSpaceDN w:val="0"/>
              <w:adjustRightInd w:val="0"/>
              <w:jc w:val="right"/>
              <w:rPr>
                <w:color w:val="000000"/>
                <w:sz w:val="20"/>
                <w:szCs w:val="20"/>
              </w:rPr>
            </w:pPr>
            <w:r w:rsidRPr="00FE03E8">
              <w:rPr>
                <w:color w:val="000000"/>
                <w:sz w:val="20"/>
                <w:szCs w:val="20"/>
              </w:rPr>
              <w:t>31</w:t>
            </w:r>
            <w:r w:rsidR="00FE03E8" w:rsidRPr="00FE03E8">
              <w:rPr>
                <w:color w:val="000000"/>
                <w:sz w:val="20"/>
                <w:szCs w:val="20"/>
              </w:rPr>
              <w:t>.</w:t>
            </w:r>
            <w:r w:rsidRPr="00FE03E8">
              <w:rPr>
                <w:color w:val="000000"/>
                <w:sz w:val="20"/>
                <w:szCs w:val="20"/>
              </w:rPr>
              <w:t>480</w:t>
            </w:r>
            <w:r w:rsidR="00FE03E8" w:rsidRPr="00FE03E8">
              <w:rPr>
                <w:color w:val="000000"/>
                <w:sz w:val="20"/>
                <w:szCs w:val="20"/>
              </w:rPr>
              <w:t>.</w:t>
            </w:r>
            <w:r w:rsidRPr="00FE03E8">
              <w:rPr>
                <w:color w:val="000000"/>
                <w:sz w:val="20"/>
                <w:szCs w:val="20"/>
              </w:rPr>
              <w:t>987,00</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FE03E8">
            <w:pPr>
              <w:autoSpaceDE w:val="0"/>
              <w:autoSpaceDN w:val="0"/>
              <w:adjustRightInd w:val="0"/>
              <w:jc w:val="right"/>
              <w:rPr>
                <w:color w:val="000000"/>
                <w:sz w:val="20"/>
                <w:szCs w:val="20"/>
              </w:rPr>
            </w:pPr>
            <w:r w:rsidRPr="00FE03E8">
              <w:rPr>
                <w:color w:val="000000"/>
                <w:sz w:val="20"/>
                <w:szCs w:val="20"/>
              </w:rPr>
              <w:t>2</w:t>
            </w:r>
            <w:r w:rsidR="00FE03E8" w:rsidRPr="00FE03E8">
              <w:rPr>
                <w:color w:val="000000"/>
                <w:sz w:val="20"/>
                <w:szCs w:val="20"/>
              </w:rPr>
              <w:t>7.</w:t>
            </w:r>
            <w:r w:rsidRPr="00FE03E8">
              <w:rPr>
                <w:color w:val="000000"/>
                <w:sz w:val="20"/>
                <w:szCs w:val="20"/>
              </w:rPr>
              <w:t>356</w:t>
            </w:r>
            <w:r w:rsidR="00FE03E8" w:rsidRPr="00FE03E8">
              <w:rPr>
                <w:color w:val="000000"/>
                <w:sz w:val="20"/>
                <w:szCs w:val="20"/>
              </w:rPr>
              <w:t>.</w:t>
            </w:r>
            <w:r w:rsidRPr="00FE03E8">
              <w:rPr>
                <w:color w:val="000000"/>
                <w:sz w:val="20"/>
                <w:szCs w:val="20"/>
              </w:rPr>
              <w:t>961,00</w:t>
            </w:r>
          </w:p>
        </w:tc>
      </w:tr>
      <w:tr w:rsidR="00257B09" w:rsidRPr="00FE03E8" w:rsidTr="00FE03E8">
        <w:trPr>
          <w:trHeight w:val="25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A263C6">
            <w:pPr>
              <w:autoSpaceDE w:val="0"/>
              <w:autoSpaceDN w:val="0"/>
              <w:adjustRightInd w:val="0"/>
              <w:rPr>
                <w:color w:val="000000"/>
                <w:sz w:val="20"/>
                <w:szCs w:val="20"/>
              </w:rPr>
            </w:pPr>
            <w:r w:rsidRPr="00FE03E8">
              <w:rPr>
                <w:color w:val="000000"/>
                <w:sz w:val="20"/>
                <w:szCs w:val="20"/>
              </w:rPr>
              <w:t xml:space="preserve">Nadační fond </w:t>
            </w:r>
            <w:r w:rsidR="00A263C6" w:rsidRPr="00FE03E8">
              <w:rPr>
                <w:color w:val="000000"/>
                <w:sz w:val="20"/>
                <w:szCs w:val="20"/>
              </w:rPr>
              <w:t>Pragae Quinta Regione</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600E9F">
            <w:pPr>
              <w:autoSpaceDE w:val="0"/>
              <w:autoSpaceDN w:val="0"/>
              <w:adjustRightInd w:val="0"/>
              <w:jc w:val="right"/>
              <w:rPr>
                <w:color w:val="000000"/>
                <w:sz w:val="20"/>
                <w:szCs w:val="20"/>
              </w:rPr>
            </w:pPr>
            <w:r w:rsidRPr="00FE03E8">
              <w:rPr>
                <w:color w:val="000000"/>
                <w:sz w:val="20"/>
                <w:szCs w:val="20"/>
              </w:rPr>
              <w:t>0,00</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FE03E8">
            <w:pPr>
              <w:autoSpaceDE w:val="0"/>
              <w:autoSpaceDN w:val="0"/>
              <w:adjustRightInd w:val="0"/>
              <w:jc w:val="right"/>
              <w:rPr>
                <w:color w:val="000000"/>
                <w:sz w:val="20"/>
                <w:szCs w:val="20"/>
              </w:rPr>
            </w:pPr>
            <w:r w:rsidRPr="00FE03E8">
              <w:rPr>
                <w:color w:val="000000"/>
                <w:sz w:val="20"/>
                <w:szCs w:val="20"/>
              </w:rPr>
              <w:t>175</w:t>
            </w:r>
            <w:r w:rsidR="00FE03E8" w:rsidRPr="00FE03E8">
              <w:rPr>
                <w:color w:val="000000"/>
                <w:sz w:val="20"/>
                <w:szCs w:val="20"/>
              </w:rPr>
              <w:t>.</w:t>
            </w:r>
            <w:r w:rsidRPr="00FE03E8">
              <w:rPr>
                <w:color w:val="000000"/>
                <w:sz w:val="20"/>
                <w:szCs w:val="20"/>
              </w:rPr>
              <w:t>173,50</w:t>
            </w:r>
          </w:p>
        </w:tc>
      </w:tr>
      <w:tr w:rsidR="00257B09" w:rsidRPr="00FE03E8" w:rsidTr="00FE03E8">
        <w:trPr>
          <w:trHeight w:val="275"/>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A263C6">
            <w:pPr>
              <w:autoSpaceDE w:val="0"/>
              <w:autoSpaceDN w:val="0"/>
              <w:adjustRightInd w:val="0"/>
              <w:rPr>
                <w:color w:val="000000"/>
                <w:sz w:val="20"/>
                <w:szCs w:val="20"/>
              </w:rPr>
            </w:pPr>
            <w:r w:rsidRPr="00FE03E8">
              <w:rPr>
                <w:color w:val="000000"/>
                <w:sz w:val="20"/>
                <w:szCs w:val="20"/>
              </w:rPr>
              <w:t>R</w:t>
            </w:r>
            <w:r w:rsidR="00A263C6" w:rsidRPr="00FE03E8">
              <w:rPr>
                <w:color w:val="000000"/>
                <w:sz w:val="20"/>
                <w:szCs w:val="20"/>
              </w:rPr>
              <w:t>a</w:t>
            </w:r>
            <w:r w:rsidRPr="00FE03E8">
              <w:rPr>
                <w:color w:val="000000"/>
                <w:sz w:val="20"/>
                <w:szCs w:val="20"/>
              </w:rPr>
              <w:t>iffeisen</w:t>
            </w:r>
            <w:r w:rsidR="00A263C6" w:rsidRPr="00FE03E8">
              <w:rPr>
                <w:color w:val="000000"/>
                <w:sz w:val="20"/>
                <w:szCs w:val="20"/>
              </w:rPr>
              <w:t xml:space="preserve">bank </w:t>
            </w:r>
            <w:r w:rsidRPr="00FE03E8">
              <w:rPr>
                <w:color w:val="000000"/>
                <w:sz w:val="20"/>
                <w:szCs w:val="20"/>
              </w:rPr>
              <w:t>termínovaný vklad</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600E9F">
            <w:pPr>
              <w:autoSpaceDE w:val="0"/>
              <w:autoSpaceDN w:val="0"/>
              <w:adjustRightInd w:val="0"/>
              <w:jc w:val="right"/>
              <w:rPr>
                <w:color w:val="000000"/>
                <w:sz w:val="20"/>
                <w:szCs w:val="20"/>
              </w:rPr>
            </w:pPr>
            <w:r w:rsidRPr="00FE03E8">
              <w:rPr>
                <w:color w:val="000000"/>
                <w:sz w:val="20"/>
                <w:szCs w:val="20"/>
              </w:rPr>
              <w:t>0,00</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FE03E8">
            <w:pPr>
              <w:autoSpaceDE w:val="0"/>
              <w:autoSpaceDN w:val="0"/>
              <w:adjustRightInd w:val="0"/>
              <w:jc w:val="right"/>
              <w:rPr>
                <w:color w:val="000000"/>
                <w:sz w:val="20"/>
                <w:szCs w:val="20"/>
              </w:rPr>
            </w:pPr>
            <w:r w:rsidRPr="00FE03E8">
              <w:rPr>
                <w:color w:val="000000"/>
                <w:sz w:val="20"/>
                <w:szCs w:val="20"/>
              </w:rPr>
              <w:t>102</w:t>
            </w:r>
            <w:r w:rsidR="00FE03E8" w:rsidRPr="00FE03E8">
              <w:rPr>
                <w:color w:val="000000"/>
                <w:sz w:val="20"/>
                <w:szCs w:val="20"/>
              </w:rPr>
              <w:t>.</w:t>
            </w:r>
            <w:r w:rsidRPr="00FE03E8">
              <w:rPr>
                <w:color w:val="000000"/>
                <w:sz w:val="20"/>
                <w:szCs w:val="20"/>
              </w:rPr>
              <w:t>301</w:t>
            </w:r>
            <w:r w:rsidR="00FE03E8" w:rsidRPr="00FE03E8">
              <w:rPr>
                <w:color w:val="000000"/>
                <w:sz w:val="20"/>
                <w:szCs w:val="20"/>
              </w:rPr>
              <w:t>.</w:t>
            </w:r>
            <w:r w:rsidRPr="00FE03E8">
              <w:rPr>
                <w:color w:val="000000"/>
                <w:sz w:val="20"/>
                <w:szCs w:val="20"/>
              </w:rPr>
              <w:t>287,67</w:t>
            </w:r>
          </w:p>
        </w:tc>
      </w:tr>
      <w:tr w:rsidR="00257B09" w:rsidRPr="00FE03E8" w:rsidTr="00FE03E8">
        <w:trPr>
          <w:trHeight w:val="266"/>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A263C6">
            <w:pPr>
              <w:autoSpaceDE w:val="0"/>
              <w:autoSpaceDN w:val="0"/>
              <w:adjustRightInd w:val="0"/>
              <w:rPr>
                <w:color w:val="000000"/>
                <w:sz w:val="20"/>
                <w:szCs w:val="20"/>
              </w:rPr>
            </w:pPr>
            <w:r w:rsidRPr="00FE03E8">
              <w:rPr>
                <w:color w:val="000000"/>
                <w:sz w:val="20"/>
                <w:szCs w:val="20"/>
              </w:rPr>
              <w:t xml:space="preserve">Účty </w:t>
            </w:r>
            <w:r w:rsidR="00A263C6" w:rsidRPr="00FE03E8">
              <w:rPr>
                <w:color w:val="000000"/>
                <w:sz w:val="20"/>
                <w:szCs w:val="20"/>
              </w:rPr>
              <w:t>zdaňované činnosti</w:t>
            </w:r>
            <w:r w:rsidRPr="00FE03E8">
              <w:rPr>
                <w:color w:val="000000"/>
                <w:sz w:val="20"/>
                <w:szCs w:val="20"/>
              </w:rPr>
              <w:t xml:space="preserve">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FE03E8">
            <w:pPr>
              <w:autoSpaceDE w:val="0"/>
              <w:autoSpaceDN w:val="0"/>
              <w:adjustRightInd w:val="0"/>
              <w:jc w:val="right"/>
              <w:rPr>
                <w:color w:val="000000"/>
                <w:sz w:val="20"/>
                <w:szCs w:val="20"/>
              </w:rPr>
            </w:pPr>
            <w:r w:rsidRPr="00FE03E8">
              <w:rPr>
                <w:color w:val="000000"/>
                <w:sz w:val="20"/>
                <w:szCs w:val="20"/>
              </w:rPr>
              <w:t>736</w:t>
            </w:r>
            <w:r w:rsidR="00FE03E8" w:rsidRPr="00FE03E8">
              <w:rPr>
                <w:color w:val="000000"/>
                <w:sz w:val="20"/>
                <w:szCs w:val="20"/>
              </w:rPr>
              <w:t>.</w:t>
            </w:r>
            <w:r w:rsidRPr="00FE03E8">
              <w:rPr>
                <w:color w:val="000000"/>
                <w:sz w:val="20"/>
                <w:szCs w:val="20"/>
              </w:rPr>
              <w:t>112</w:t>
            </w:r>
            <w:r w:rsidR="00FE03E8" w:rsidRPr="00FE03E8">
              <w:rPr>
                <w:color w:val="000000"/>
                <w:sz w:val="20"/>
                <w:szCs w:val="20"/>
              </w:rPr>
              <w:t>.</w:t>
            </w:r>
            <w:r w:rsidRPr="00FE03E8">
              <w:rPr>
                <w:color w:val="000000"/>
                <w:sz w:val="20"/>
                <w:szCs w:val="20"/>
              </w:rPr>
              <w:t>957,39</w:t>
            </w:r>
          </w:p>
        </w:tc>
        <w:tc>
          <w:tcPr>
            <w:tcW w:w="2835" w:type="dxa"/>
            <w:tcBorders>
              <w:top w:val="single" w:sz="6" w:space="0" w:color="auto"/>
              <w:left w:val="single" w:sz="6" w:space="0" w:color="auto"/>
              <w:bottom w:val="single" w:sz="6" w:space="0" w:color="auto"/>
              <w:right w:val="single" w:sz="6" w:space="0" w:color="auto"/>
            </w:tcBorders>
            <w:shd w:val="solid" w:color="FFFFFF" w:fill="auto"/>
            <w:vAlign w:val="center"/>
          </w:tcPr>
          <w:p w:rsidR="00257B09" w:rsidRPr="00FE03E8" w:rsidRDefault="00257B09" w:rsidP="00FE03E8">
            <w:pPr>
              <w:autoSpaceDE w:val="0"/>
              <w:autoSpaceDN w:val="0"/>
              <w:adjustRightInd w:val="0"/>
              <w:jc w:val="right"/>
              <w:rPr>
                <w:color w:val="000000"/>
                <w:sz w:val="20"/>
                <w:szCs w:val="20"/>
              </w:rPr>
            </w:pPr>
            <w:r w:rsidRPr="00FE03E8">
              <w:rPr>
                <w:color w:val="000000"/>
                <w:sz w:val="20"/>
                <w:szCs w:val="20"/>
              </w:rPr>
              <w:t>628</w:t>
            </w:r>
            <w:r w:rsidR="00FE03E8" w:rsidRPr="00FE03E8">
              <w:rPr>
                <w:color w:val="000000"/>
                <w:sz w:val="20"/>
                <w:szCs w:val="20"/>
              </w:rPr>
              <w:t>.</w:t>
            </w:r>
            <w:r w:rsidRPr="00FE03E8">
              <w:rPr>
                <w:color w:val="000000"/>
                <w:sz w:val="20"/>
                <w:szCs w:val="20"/>
              </w:rPr>
              <w:t>928</w:t>
            </w:r>
            <w:r w:rsidR="00FE03E8" w:rsidRPr="00FE03E8">
              <w:rPr>
                <w:color w:val="000000"/>
                <w:sz w:val="20"/>
                <w:szCs w:val="20"/>
              </w:rPr>
              <w:t>.</w:t>
            </w:r>
            <w:r w:rsidRPr="00FE03E8">
              <w:rPr>
                <w:color w:val="000000"/>
                <w:sz w:val="20"/>
                <w:szCs w:val="20"/>
              </w:rPr>
              <w:t>589,60</w:t>
            </w:r>
          </w:p>
        </w:tc>
      </w:tr>
      <w:tr w:rsidR="00257B09" w:rsidRPr="00C4542A" w:rsidTr="00FE03E8">
        <w:trPr>
          <w:trHeight w:val="523"/>
        </w:trPr>
        <w:tc>
          <w:tcPr>
            <w:tcW w:w="3261" w:type="dxa"/>
            <w:tcBorders>
              <w:top w:val="single" w:sz="6" w:space="0" w:color="auto"/>
              <w:left w:val="single" w:sz="6" w:space="0" w:color="auto"/>
              <w:bottom w:val="single" w:sz="6" w:space="0" w:color="auto"/>
              <w:right w:val="single" w:sz="6" w:space="0" w:color="auto"/>
            </w:tcBorders>
            <w:shd w:val="clear" w:color="auto" w:fill="EEECE1"/>
            <w:vAlign w:val="center"/>
          </w:tcPr>
          <w:p w:rsidR="00257B09" w:rsidRPr="00FE03E8" w:rsidRDefault="00257B09" w:rsidP="00600E9F">
            <w:pPr>
              <w:autoSpaceDE w:val="0"/>
              <w:autoSpaceDN w:val="0"/>
              <w:adjustRightInd w:val="0"/>
              <w:rPr>
                <w:b/>
                <w:bCs/>
                <w:color w:val="000000"/>
                <w:sz w:val="20"/>
                <w:szCs w:val="20"/>
              </w:rPr>
            </w:pPr>
            <w:r w:rsidRPr="00FE03E8">
              <w:rPr>
                <w:b/>
                <w:bCs/>
                <w:color w:val="000000"/>
                <w:sz w:val="20"/>
                <w:szCs w:val="20"/>
              </w:rPr>
              <w:t>Celkem</w:t>
            </w:r>
          </w:p>
        </w:tc>
        <w:tc>
          <w:tcPr>
            <w:tcW w:w="2976" w:type="dxa"/>
            <w:tcBorders>
              <w:top w:val="single" w:sz="6" w:space="0" w:color="auto"/>
              <w:left w:val="single" w:sz="6" w:space="0" w:color="auto"/>
              <w:bottom w:val="single" w:sz="6" w:space="0" w:color="auto"/>
              <w:right w:val="single" w:sz="6" w:space="0" w:color="auto"/>
            </w:tcBorders>
            <w:shd w:val="clear" w:color="auto" w:fill="EEECE1"/>
            <w:vAlign w:val="center"/>
          </w:tcPr>
          <w:p w:rsidR="00257B09" w:rsidRPr="00FE03E8" w:rsidRDefault="00257B09" w:rsidP="00FE03E8">
            <w:pPr>
              <w:autoSpaceDE w:val="0"/>
              <w:autoSpaceDN w:val="0"/>
              <w:adjustRightInd w:val="0"/>
              <w:jc w:val="right"/>
              <w:rPr>
                <w:b/>
                <w:bCs/>
                <w:color w:val="000000"/>
                <w:sz w:val="20"/>
                <w:szCs w:val="20"/>
              </w:rPr>
            </w:pPr>
            <w:r w:rsidRPr="00FE03E8">
              <w:rPr>
                <w:b/>
                <w:bCs/>
                <w:color w:val="000000"/>
                <w:sz w:val="20"/>
                <w:szCs w:val="20"/>
              </w:rPr>
              <w:t>1</w:t>
            </w:r>
            <w:r w:rsidR="00FE03E8" w:rsidRPr="00FE03E8">
              <w:rPr>
                <w:b/>
                <w:bCs/>
                <w:color w:val="000000"/>
                <w:sz w:val="20"/>
                <w:szCs w:val="20"/>
              </w:rPr>
              <w:t>.</w:t>
            </w:r>
            <w:r w:rsidRPr="00FE03E8">
              <w:rPr>
                <w:b/>
                <w:bCs/>
                <w:color w:val="000000"/>
                <w:sz w:val="20"/>
                <w:szCs w:val="20"/>
              </w:rPr>
              <w:t>386</w:t>
            </w:r>
            <w:r w:rsidR="00FE03E8" w:rsidRPr="00FE03E8">
              <w:rPr>
                <w:b/>
                <w:bCs/>
                <w:color w:val="000000"/>
                <w:sz w:val="20"/>
                <w:szCs w:val="20"/>
              </w:rPr>
              <w:t>.</w:t>
            </w:r>
            <w:r w:rsidRPr="00FE03E8">
              <w:rPr>
                <w:b/>
                <w:bCs/>
                <w:color w:val="000000"/>
                <w:sz w:val="20"/>
                <w:szCs w:val="20"/>
              </w:rPr>
              <w:t>479</w:t>
            </w:r>
            <w:r w:rsidR="00FE03E8" w:rsidRPr="00FE03E8">
              <w:rPr>
                <w:b/>
                <w:bCs/>
                <w:color w:val="000000"/>
                <w:sz w:val="20"/>
                <w:szCs w:val="20"/>
              </w:rPr>
              <w:t>.</w:t>
            </w:r>
            <w:r w:rsidRPr="00FE03E8">
              <w:rPr>
                <w:b/>
                <w:bCs/>
                <w:color w:val="000000"/>
                <w:sz w:val="20"/>
                <w:szCs w:val="20"/>
              </w:rPr>
              <w:t>073,84</w:t>
            </w:r>
          </w:p>
        </w:tc>
        <w:tc>
          <w:tcPr>
            <w:tcW w:w="2835" w:type="dxa"/>
            <w:tcBorders>
              <w:top w:val="single" w:sz="6" w:space="0" w:color="auto"/>
              <w:left w:val="single" w:sz="6" w:space="0" w:color="auto"/>
              <w:bottom w:val="single" w:sz="6" w:space="0" w:color="auto"/>
              <w:right w:val="single" w:sz="6" w:space="0" w:color="auto"/>
            </w:tcBorders>
            <w:shd w:val="clear" w:color="auto" w:fill="EEECE1"/>
            <w:vAlign w:val="center"/>
          </w:tcPr>
          <w:p w:rsidR="00257B09" w:rsidRPr="00C4542A" w:rsidRDefault="00257B09" w:rsidP="00FE03E8">
            <w:pPr>
              <w:autoSpaceDE w:val="0"/>
              <w:autoSpaceDN w:val="0"/>
              <w:adjustRightInd w:val="0"/>
              <w:jc w:val="right"/>
              <w:rPr>
                <w:b/>
                <w:bCs/>
                <w:color w:val="000000"/>
                <w:sz w:val="20"/>
                <w:szCs w:val="20"/>
              </w:rPr>
            </w:pPr>
            <w:r w:rsidRPr="00FE03E8">
              <w:rPr>
                <w:b/>
                <w:bCs/>
                <w:color w:val="000000"/>
                <w:sz w:val="20"/>
                <w:szCs w:val="20"/>
              </w:rPr>
              <w:t>1</w:t>
            </w:r>
            <w:r w:rsidR="00FE03E8" w:rsidRPr="00FE03E8">
              <w:rPr>
                <w:b/>
                <w:bCs/>
                <w:color w:val="000000"/>
                <w:sz w:val="20"/>
                <w:szCs w:val="20"/>
              </w:rPr>
              <w:t>.</w:t>
            </w:r>
            <w:r w:rsidRPr="00FE03E8">
              <w:rPr>
                <w:b/>
                <w:bCs/>
                <w:color w:val="000000"/>
                <w:sz w:val="20"/>
                <w:szCs w:val="20"/>
              </w:rPr>
              <w:t>164</w:t>
            </w:r>
            <w:r w:rsidR="00FE03E8" w:rsidRPr="00FE03E8">
              <w:rPr>
                <w:b/>
                <w:bCs/>
                <w:color w:val="000000"/>
                <w:sz w:val="20"/>
                <w:szCs w:val="20"/>
              </w:rPr>
              <w:t>.</w:t>
            </w:r>
            <w:r w:rsidRPr="00FE03E8">
              <w:rPr>
                <w:b/>
                <w:bCs/>
                <w:color w:val="000000"/>
                <w:sz w:val="20"/>
                <w:szCs w:val="20"/>
              </w:rPr>
              <w:t>011</w:t>
            </w:r>
            <w:r w:rsidR="00FE03E8" w:rsidRPr="00FE03E8">
              <w:rPr>
                <w:b/>
                <w:bCs/>
                <w:color w:val="000000"/>
                <w:sz w:val="20"/>
                <w:szCs w:val="20"/>
              </w:rPr>
              <w:t>.</w:t>
            </w:r>
            <w:r w:rsidRPr="00FE03E8">
              <w:rPr>
                <w:b/>
                <w:bCs/>
                <w:color w:val="000000"/>
                <w:sz w:val="20"/>
                <w:szCs w:val="20"/>
              </w:rPr>
              <w:t>974,24</w:t>
            </w:r>
          </w:p>
        </w:tc>
      </w:tr>
    </w:tbl>
    <w:p w:rsidR="00F361F0" w:rsidRDefault="00F361F0" w:rsidP="00D71C47">
      <w:pPr>
        <w:jc w:val="both"/>
        <w:rPr>
          <w:b/>
          <w:sz w:val="22"/>
          <w:szCs w:val="22"/>
        </w:rPr>
      </w:pPr>
    </w:p>
    <w:p w:rsidR="005D0CA1" w:rsidRDefault="005D0CA1" w:rsidP="00D71C47">
      <w:pPr>
        <w:jc w:val="both"/>
        <w:rPr>
          <w:b/>
          <w:sz w:val="22"/>
          <w:szCs w:val="22"/>
        </w:rPr>
      </w:pPr>
    </w:p>
    <w:p w:rsidR="00980593" w:rsidRDefault="002C0A52" w:rsidP="00A5796B">
      <w:pPr>
        <w:jc w:val="both"/>
        <w:rPr>
          <w:sz w:val="22"/>
          <w:szCs w:val="22"/>
        </w:rPr>
      </w:pPr>
      <w:r w:rsidRPr="00F20418">
        <w:rPr>
          <w:b/>
          <w:sz w:val="22"/>
          <w:szCs w:val="22"/>
        </w:rPr>
        <w:t xml:space="preserve">Účet </w:t>
      </w:r>
      <w:r w:rsidR="00123997">
        <w:rPr>
          <w:b/>
          <w:sz w:val="22"/>
          <w:szCs w:val="22"/>
        </w:rPr>
        <w:t xml:space="preserve">s </w:t>
      </w:r>
      <w:r w:rsidRPr="00F20418">
        <w:rPr>
          <w:b/>
          <w:sz w:val="22"/>
          <w:szCs w:val="22"/>
        </w:rPr>
        <w:t>termínovaný</w:t>
      </w:r>
      <w:r w:rsidR="00123997">
        <w:rPr>
          <w:b/>
          <w:sz w:val="22"/>
          <w:szCs w:val="22"/>
        </w:rPr>
        <w:t>m</w:t>
      </w:r>
      <w:r w:rsidRPr="00F20418">
        <w:rPr>
          <w:b/>
          <w:sz w:val="22"/>
          <w:szCs w:val="22"/>
        </w:rPr>
        <w:t xml:space="preserve"> vklad</w:t>
      </w:r>
      <w:r w:rsidR="00123997">
        <w:rPr>
          <w:b/>
          <w:sz w:val="22"/>
          <w:szCs w:val="22"/>
        </w:rPr>
        <w:t xml:space="preserve">em </w:t>
      </w:r>
      <w:r w:rsidRPr="00F20418">
        <w:rPr>
          <w:sz w:val="22"/>
          <w:szCs w:val="22"/>
        </w:rPr>
        <w:t xml:space="preserve">byl zřízen u Raiffeisenbank, kam byly převedeny finanční prostředky ve výši 100.000 </w:t>
      </w:r>
      <w:r w:rsidR="005E1108">
        <w:rPr>
          <w:sz w:val="22"/>
          <w:szCs w:val="22"/>
        </w:rPr>
        <w:t>tis. Kč</w:t>
      </w:r>
      <w:r w:rsidRPr="00F20418">
        <w:rPr>
          <w:sz w:val="22"/>
          <w:szCs w:val="22"/>
        </w:rPr>
        <w:t xml:space="preserve"> k dlouhodobému zhodnocení a uloženy na dobu 2 let. Na účt</w:t>
      </w:r>
      <w:r w:rsidR="00990A51" w:rsidRPr="00F20418">
        <w:rPr>
          <w:sz w:val="22"/>
          <w:szCs w:val="22"/>
        </w:rPr>
        <w:t xml:space="preserve">u </w:t>
      </w:r>
      <w:r w:rsidRPr="00F20418">
        <w:rPr>
          <w:sz w:val="22"/>
          <w:szCs w:val="22"/>
        </w:rPr>
        <w:t xml:space="preserve">byly připsány úroky ve výši </w:t>
      </w:r>
      <w:r w:rsidR="00E62321">
        <w:rPr>
          <w:sz w:val="22"/>
          <w:szCs w:val="22"/>
        </w:rPr>
        <w:t>3.670.027,40</w:t>
      </w:r>
      <w:r w:rsidR="005E1108">
        <w:rPr>
          <w:sz w:val="22"/>
          <w:szCs w:val="22"/>
        </w:rPr>
        <w:t> Kč</w:t>
      </w:r>
      <w:r w:rsidR="00D00FAC">
        <w:rPr>
          <w:sz w:val="22"/>
          <w:szCs w:val="22"/>
        </w:rPr>
        <w:t xml:space="preserve"> </w:t>
      </w:r>
      <w:r w:rsidR="00D00FAC" w:rsidRPr="00D00FAC">
        <w:rPr>
          <w:sz w:val="22"/>
          <w:szCs w:val="22"/>
        </w:rPr>
        <w:t>za</w:t>
      </w:r>
      <w:r w:rsidR="00990A51" w:rsidRPr="00D00FAC">
        <w:rPr>
          <w:sz w:val="22"/>
          <w:szCs w:val="22"/>
        </w:rPr>
        <w:t xml:space="preserve"> období od data uložení, tj.</w:t>
      </w:r>
      <w:r w:rsidR="005B2FC9">
        <w:rPr>
          <w:sz w:val="22"/>
          <w:szCs w:val="22"/>
        </w:rPr>
        <w:t xml:space="preserve"> od </w:t>
      </w:r>
      <w:r w:rsidR="00990A51" w:rsidRPr="00D00FAC">
        <w:rPr>
          <w:sz w:val="22"/>
          <w:szCs w:val="22"/>
        </w:rPr>
        <w:t>15.</w:t>
      </w:r>
      <w:r w:rsidR="00B605DA">
        <w:rPr>
          <w:sz w:val="22"/>
          <w:szCs w:val="22"/>
        </w:rPr>
        <w:t xml:space="preserve"> </w:t>
      </w:r>
      <w:r w:rsidR="00990A51" w:rsidRPr="00D00FAC">
        <w:rPr>
          <w:sz w:val="22"/>
          <w:szCs w:val="22"/>
        </w:rPr>
        <w:t>9.</w:t>
      </w:r>
      <w:r w:rsidR="00B605DA">
        <w:rPr>
          <w:sz w:val="22"/>
          <w:szCs w:val="22"/>
        </w:rPr>
        <w:t xml:space="preserve"> </w:t>
      </w:r>
      <w:r w:rsidR="002E1593" w:rsidRPr="00D00FAC">
        <w:rPr>
          <w:sz w:val="22"/>
          <w:szCs w:val="22"/>
        </w:rPr>
        <w:t xml:space="preserve">2011 </w:t>
      </w:r>
      <w:r w:rsidR="005B2FC9">
        <w:rPr>
          <w:sz w:val="22"/>
          <w:szCs w:val="22"/>
        </w:rPr>
        <w:t>do</w:t>
      </w:r>
      <w:r w:rsidR="002E1593" w:rsidRPr="00D00FAC">
        <w:rPr>
          <w:sz w:val="22"/>
          <w:szCs w:val="22"/>
        </w:rPr>
        <w:t xml:space="preserve"> </w:t>
      </w:r>
      <w:r w:rsidR="00B605DA">
        <w:rPr>
          <w:sz w:val="22"/>
          <w:szCs w:val="22"/>
        </w:rPr>
        <w:t xml:space="preserve">data vrácení financí městské části dne </w:t>
      </w:r>
      <w:r w:rsidR="00E62321">
        <w:rPr>
          <w:sz w:val="22"/>
          <w:szCs w:val="22"/>
        </w:rPr>
        <w:t>16.</w:t>
      </w:r>
      <w:r w:rsidR="00B605DA">
        <w:rPr>
          <w:sz w:val="22"/>
          <w:szCs w:val="22"/>
        </w:rPr>
        <w:t xml:space="preserve"> </w:t>
      </w:r>
      <w:r w:rsidR="00E62321">
        <w:rPr>
          <w:sz w:val="22"/>
          <w:szCs w:val="22"/>
        </w:rPr>
        <w:t>9.</w:t>
      </w:r>
      <w:r w:rsidR="00B605DA">
        <w:rPr>
          <w:sz w:val="22"/>
          <w:szCs w:val="22"/>
        </w:rPr>
        <w:t xml:space="preserve"> </w:t>
      </w:r>
      <w:r w:rsidR="00E62321">
        <w:rPr>
          <w:sz w:val="22"/>
          <w:szCs w:val="22"/>
        </w:rPr>
        <w:t>2013</w:t>
      </w:r>
      <w:r w:rsidR="00990A51" w:rsidRPr="00D00FAC">
        <w:rPr>
          <w:sz w:val="22"/>
          <w:szCs w:val="22"/>
        </w:rPr>
        <w:t>.</w:t>
      </w:r>
    </w:p>
    <w:p w:rsidR="00A5796B" w:rsidRDefault="00A5796B" w:rsidP="00A5796B">
      <w:pPr>
        <w:jc w:val="both"/>
        <w:rPr>
          <w:rStyle w:val="Siln"/>
          <w:b w:val="0"/>
          <w:bCs w:val="0"/>
          <w:sz w:val="22"/>
          <w:szCs w:val="22"/>
        </w:rPr>
      </w:pPr>
    </w:p>
    <w:p w:rsidR="00E4180F" w:rsidRPr="004F02C9" w:rsidRDefault="00E4180F" w:rsidP="00AA76C9">
      <w:pPr>
        <w:pStyle w:val="Nadpis2"/>
        <w:rPr>
          <w:rStyle w:val="Siln"/>
          <w:sz w:val="24"/>
        </w:rPr>
      </w:pPr>
      <w:bookmarkStart w:id="46" w:name="_Toc385875227"/>
      <w:r w:rsidRPr="00CF392D">
        <w:rPr>
          <w:rStyle w:val="Siln"/>
          <w:sz w:val="24"/>
        </w:rPr>
        <w:t xml:space="preserve">6. </w:t>
      </w:r>
      <w:bookmarkStart w:id="47" w:name="_Toc224964533"/>
      <w:bookmarkStart w:id="48" w:name="_Toc194288870"/>
      <w:r w:rsidRPr="00CF392D">
        <w:rPr>
          <w:rStyle w:val="Siln"/>
          <w:sz w:val="24"/>
        </w:rPr>
        <w:t>Hospodaření příspěvkových organizací zřízených městskou částí</w:t>
      </w:r>
      <w:bookmarkEnd w:id="46"/>
      <w:r w:rsidRPr="004F02C9">
        <w:rPr>
          <w:rStyle w:val="Siln"/>
          <w:sz w:val="24"/>
        </w:rPr>
        <w:t xml:space="preserve"> </w:t>
      </w:r>
      <w:bookmarkEnd w:id="47"/>
      <w:bookmarkEnd w:id="48"/>
    </w:p>
    <w:p w:rsidR="00CA01A9" w:rsidRPr="00CA01A9" w:rsidRDefault="00CA01A9" w:rsidP="00A263C6">
      <w:pPr>
        <w:pStyle w:val="Nadpis3"/>
      </w:pPr>
      <w:bookmarkStart w:id="49" w:name="_Toc385875228"/>
      <w:r w:rsidRPr="00CA01A9">
        <w:t>Výsledky hospodaření</w:t>
      </w:r>
      <w:bookmarkEnd w:id="49"/>
    </w:p>
    <w:p w:rsidR="008A4806" w:rsidRDefault="00E4180F" w:rsidP="008A4806">
      <w:pPr>
        <w:jc w:val="both"/>
        <w:rPr>
          <w:sz w:val="22"/>
          <w:szCs w:val="22"/>
        </w:rPr>
      </w:pPr>
      <w:r w:rsidRPr="00F20418">
        <w:rPr>
          <w:sz w:val="22"/>
          <w:szCs w:val="22"/>
        </w:rPr>
        <w:t>Součástí hodnocení výsledků hospodaření městské části za rok 201</w:t>
      </w:r>
      <w:r w:rsidR="005D0CA1">
        <w:rPr>
          <w:sz w:val="22"/>
          <w:szCs w:val="22"/>
        </w:rPr>
        <w:t>3</w:t>
      </w:r>
      <w:r w:rsidRPr="00F20418">
        <w:rPr>
          <w:sz w:val="22"/>
          <w:szCs w:val="22"/>
        </w:rPr>
        <w:t xml:space="preserve"> jsou i výsledky příspěvkových organizací zřízených měst</w:t>
      </w:r>
      <w:r w:rsidR="00C408FD">
        <w:rPr>
          <w:sz w:val="22"/>
          <w:szCs w:val="22"/>
        </w:rPr>
        <w:t>skou čás</w:t>
      </w:r>
      <w:r w:rsidR="008A4806">
        <w:rPr>
          <w:sz w:val="22"/>
          <w:szCs w:val="22"/>
        </w:rPr>
        <w:t>tí</w:t>
      </w:r>
      <w:r w:rsidR="00162CE1">
        <w:rPr>
          <w:sz w:val="22"/>
          <w:szCs w:val="22"/>
        </w:rPr>
        <w:t>, údaje jsou uvedeny v Kč.</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560"/>
        <w:gridCol w:w="1559"/>
        <w:gridCol w:w="1559"/>
        <w:gridCol w:w="1560"/>
        <w:gridCol w:w="1417"/>
        <w:gridCol w:w="1417"/>
      </w:tblGrid>
      <w:tr w:rsidR="001E46C0" w:rsidRPr="00C4542A" w:rsidTr="001A101B">
        <w:trPr>
          <w:trHeight w:val="647"/>
        </w:trPr>
        <w:tc>
          <w:tcPr>
            <w:tcW w:w="1560" w:type="dxa"/>
            <w:tcBorders>
              <w:top w:val="nil"/>
              <w:left w:val="nil"/>
              <w:bottom w:val="single" w:sz="4" w:space="0" w:color="auto"/>
              <w:right w:val="nil"/>
            </w:tcBorders>
          </w:tcPr>
          <w:p w:rsidR="001E46C0" w:rsidRPr="00C4542A" w:rsidRDefault="001E46C0" w:rsidP="008B40A5">
            <w:pPr>
              <w:jc w:val="center"/>
              <w:rPr>
                <w:b/>
                <w:sz w:val="20"/>
                <w:szCs w:val="20"/>
              </w:rPr>
            </w:pPr>
          </w:p>
        </w:tc>
        <w:tc>
          <w:tcPr>
            <w:tcW w:w="4678" w:type="dxa"/>
            <w:gridSpan w:val="3"/>
            <w:tcBorders>
              <w:top w:val="nil"/>
              <w:left w:val="nil"/>
              <w:bottom w:val="single" w:sz="4" w:space="0" w:color="auto"/>
              <w:right w:val="single" w:sz="4" w:space="0" w:color="auto"/>
            </w:tcBorders>
          </w:tcPr>
          <w:p w:rsidR="001E46C0" w:rsidRPr="00C4542A" w:rsidRDefault="001E46C0" w:rsidP="008B40A5">
            <w:pPr>
              <w:jc w:val="center"/>
              <w:rPr>
                <w:b/>
                <w:sz w:val="20"/>
                <w:szCs w:val="20"/>
              </w:rPr>
            </w:pPr>
          </w:p>
        </w:tc>
        <w:tc>
          <w:tcPr>
            <w:tcW w:w="2834"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1E46C0" w:rsidRPr="00C4542A" w:rsidRDefault="001E46C0" w:rsidP="008B40A5">
            <w:pPr>
              <w:jc w:val="center"/>
              <w:rPr>
                <w:b/>
                <w:sz w:val="20"/>
                <w:szCs w:val="20"/>
              </w:rPr>
            </w:pPr>
            <w:r w:rsidRPr="00C4542A">
              <w:rPr>
                <w:b/>
                <w:sz w:val="20"/>
                <w:szCs w:val="20"/>
              </w:rPr>
              <w:t>Příděly do fondů ze zlepšen</w:t>
            </w:r>
            <w:r w:rsidRPr="00C4542A">
              <w:rPr>
                <w:b/>
                <w:sz w:val="20"/>
                <w:szCs w:val="20"/>
              </w:rPr>
              <w:t>é</w:t>
            </w:r>
            <w:r w:rsidRPr="00C4542A">
              <w:rPr>
                <w:b/>
                <w:sz w:val="20"/>
                <w:szCs w:val="20"/>
              </w:rPr>
              <w:t xml:space="preserve">ho výsledku hospodaření </w:t>
            </w:r>
          </w:p>
        </w:tc>
      </w:tr>
      <w:tr w:rsidR="001E46C0" w:rsidRPr="00C4542A" w:rsidTr="001A101B">
        <w:trPr>
          <w:trHeight w:val="647"/>
        </w:trPr>
        <w:tc>
          <w:tcPr>
            <w:tcW w:w="1560" w:type="dxa"/>
            <w:tcBorders>
              <w:top w:val="single" w:sz="4" w:space="0" w:color="auto"/>
              <w:left w:val="single" w:sz="4" w:space="0" w:color="auto"/>
              <w:bottom w:val="single" w:sz="4" w:space="0" w:color="auto"/>
              <w:right w:val="single" w:sz="4" w:space="0" w:color="auto"/>
            </w:tcBorders>
            <w:shd w:val="clear" w:color="auto" w:fill="EEECE1"/>
          </w:tcPr>
          <w:p w:rsidR="001E46C0" w:rsidRPr="00C4542A" w:rsidRDefault="001E46C0" w:rsidP="008B40A5">
            <w:pPr>
              <w:rPr>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EEECE1"/>
            <w:vAlign w:val="center"/>
          </w:tcPr>
          <w:p w:rsidR="001E46C0" w:rsidRPr="00C4542A" w:rsidRDefault="00AC3E1C" w:rsidP="00AA76C9">
            <w:pPr>
              <w:jc w:val="center"/>
              <w:rPr>
                <w:b/>
                <w:sz w:val="20"/>
                <w:szCs w:val="20"/>
              </w:rPr>
            </w:pPr>
            <w:r w:rsidRPr="00C4542A">
              <w:rPr>
                <w:b/>
                <w:sz w:val="20"/>
                <w:szCs w:val="20"/>
              </w:rPr>
              <w:t>Celkem</w:t>
            </w:r>
            <w:r w:rsidR="003A3658" w:rsidRPr="00C4542A">
              <w:rPr>
                <w:b/>
                <w:sz w:val="20"/>
                <w:szCs w:val="20"/>
              </w:rPr>
              <w:br/>
            </w:r>
            <w:r w:rsidRPr="00C4542A">
              <w:rPr>
                <w:b/>
                <w:sz w:val="20"/>
                <w:szCs w:val="20"/>
              </w:rPr>
              <w:t>(VH + odvody)</w:t>
            </w:r>
          </w:p>
        </w:tc>
        <w:tc>
          <w:tcPr>
            <w:tcW w:w="1559" w:type="dxa"/>
            <w:tcBorders>
              <w:top w:val="single" w:sz="4" w:space="0" w:color="auto"/>
              <w:left w:val="single" w:sz="4" w:space="0" w:color="auto"/>
              <w:bottom w:val="single" w:sz="4" w:space="0" w:color="auto"/>
              <w:right w:val="single" w:sz="4" w:space="0" w:color="auto"/>
            </w:tcBorders>
            <w:shd w:val="clear" w:color="auto" w:fill="EEECE1"/>
            <w:vAlign w:val="center"/>
          </w:tcPr>
          <w:p w:rsidR="00AC3E1C" w:rsidRPr="00C4542A" w:rsidRDefault="00AC3E1C" w:rsidP="00AC3E1C">
            <w:pPr>
              <w:jc w:val="center"/>
              <w:rPr>
                <w:b/>
                <w:sz w:val="20"/>
                <w:szCs w:val="20"/>
              </w:rPr>
            </w:pPr>
            <w:r w:rsidRPr="00C4542A">
              <w:rPr>
                <w:b/>
                <w:sz w:val="20"/>
                <w:szCs w:val="20"/>
              </w:rPr>
              <w:t>Výsledek</w:t>
            </w:r>
          </w:p>
          <w:p w:rsidR="001E46C0" w:rsidRPr="00C4542A" w:rsidRDefault="00AC3E1C" w:rsidP="00AC3E1C">
            <w:pPr>
              <w:jc w:val="center"/>
              <w:rPr>
                <w:b/>
                <w:sz w:val="20"/>
                <w:szCs w:val="20"/>
              </w:rPr>
            </w:pPr>
            <w:r w:rsidRPr="00C4542A">
              <w:rPr>
                <w:b/>
                <w:sz w:val="20"/>
                <w:szCs w:val="20"/>
              </w:rPr>
              <w:t>hospodaření</w:t>
            </w:r>
          </w:p>
        </w:tc>
        <w:tc>
          <w:tcPr>
            <w:tcW w:w="1560" w:type="dxa"/>
            <w:tcBorders>
              <w:top w:val="single" w:sz="4" w:space="0" w:color="auto"/>
              <w:left w:val="single" w:sz="4" w:space="0" w:color="auto"/>
              <w:bottom w:val="single" w:sz="4" w:space="0" w:color="auto"/>
              <w:right w:val="single" w:sz="4" w:space="0" w:color="auto"/>
            </w:tcBorders>
            <w:shd w:val="clear" w:color="auto" w:fill="EEECE1"/>
            <w:vAlign w:val="center"/>
          </w:tcPr>
          <w:p w:rsidR="001E46C0" w:rsidRPr="00C4542A" w:rsidRDefault="001E46C0" w:rsidP="008B40A5">
            <w:pPr>
              <w:jc w:val="center"/>
              <w:rPr>
                <w:b/>
                <w:sz w:val="20"/>
                <w:szCs w:val="20"/>
              </w:rPr>
            </w:pPr>
            <w:r w:rsidRPr="00C4542A">
              <w:rPr>
                <w:b/>
                <w:sz w:val="20"/>
                <w:szCs w:val="20"/>
              </w:rPr>
              <w:t>Odvod</w:t>
            </w:r>
          </w:p>
          <w:p w:rsidR="001E46C0" w:rsidRPr="00C4542A" w:rsidRDefault="001E46C0" w:rsidP="008B40A5">
            <w:pPr>
              <w:jc w:val="center"/>
              <w:rPr>
                <w:b/>
                <w:sz w:val="20"/>
                <w:szCs w:val="20"/>
              </w:rPr>
            </w:pPr>
            <w:r w:rsidRPr="00C4542A">
              <w:rPr>
                <w:b/>
                <w:sz w:val="20"/>
                <w:szCs w:val="20"/>
              </w:rPr>
              <w:t xml:space="preserve"> zřizovateli</w:t>
            </w: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rsidR="001E46C0" w:rsidRPr="00C4542A" w:rsidRDefault="001E46C0" w:rsidP="008B40A5">
            <w:pPr>
              <w:jc w:val="center"/>
              <w:rPr>
                <w:b/>
                <w:sz w:val="20"/>
                <w:szCs w:val="20"/>
              </w:rPr>
            </w:pPr>
            <w:r w:rsidRPr="00C4542A">
              <w:rPr>
                <w:b/>
                <w:sz w:val="20"/>
                <w:szCs w:val="20"/>
              </w:rPr>
              <w:t xml:space="preserve">Rezervní </w:t>
            </w:r>
            <w:r w:rsidRPr="00C4542A">
              <w:rPr>
                <w:b/>
                <w:sz w:val="20"/>
                <w:szCs w:val="20"/>
              </w:rPr>
              <w:br/>
              <w:t>fond</w:t>
            </w:r>
          </w:p>
        </w:tc>
        <w:tc>
          <w:tcPr>
            <w:tcW w:w="1417" w:type="dxa"/>
            <w:tcBorders>
              <w:top w:val="nil"/>
              <w:left w:val="single" w:sz="4" w:space="0" w:color="auto"/>
              <w:bottom w:val="single" w:sz="4" w:space="0" w:color="auto"/>
              <w:right w:val="single" w:sz="4" w:space="0" w:color="auto"/>
            </w:tcBorders>
            <w:shd w:val="clear" w:color="auto" w:fill="EEECE1"/>
            <w:vAlign w:val="center"/>
          </w:tcPr>
          <w:p w:rsidR="001E46C0" w:rsidRPr="00C4542A" w:rsidRDefault="001E46C0" w:rsidP="008B40A5">
            <w:pPr>
              <w:jc w:val="center"/>
              <w:rPr>
                <w:b/>
                <w:sz w:val="20"/>
                <w:szCs w:val="20"/>
              </w:rPr>
            </w:pPr>
            <w:r w:rsidRPr="00C4542A">
              <w:rPr>
                <w:b/>
                <w:sz w:val="20"/>
                <w:szCs w:val="20"/>
              </w:rPr>
              <w:t xml:space="preserve">Fond </w:t>
            </w:r>
            <w:r w:rsidRPr="00C4542A">
              <w:rPr>
                <w:b/>
                <w:sz w:val="20"/>
                <w:szCs w:val="20"/>
              </w:rPr>
              <w:br/>
              <w:t>odměn</w:t>
            </w:r>
          </w:p>
        </w:tc>
      </w:tr>
      <w:tr w:rsidR="001E46C0" w:rsidRPr="00C4542A" w:rsidTr="001A101B">
        <w:trPr>
          <w:trHeight w:val="345"/>
        </w:trPr>
        <w:tc>
          <w:tcPr>
            <w:tcW w:w="1560" w:type="dxa"/>
            <w:tcBorders>
              <w:top w:val="single" w:sz="4" w:space="0" w:color="auto"/>
              <w:left w:val="single" w:sz="4" w:space="0" w:color="auto"/>
              <w:bottom w:val="single" w:sz="4" w:space="0" w:color="auto"/>
              <w:right w:val="single" w:sz="4" w:space="0" w:color="auto"/>
            </w:tcBorders>
            <w:vAlign w:val="center"/>
          </w:tcPr>
          <w:p w:rsidR="001E46C0" w:rsidRPr="00C4542A" w:rsidRDefault="001E46C0" w:rsidP="00A263C6">
            <w:pPr>
              <w:rPr>
                <w:sz w:val="20"/>
                <w:szCs w:val="20"/>
              </w:rPr>
            </w:pPr>
            <w:r w:rsidRPr="00C4542A">
              <w:rPr>
                <w:sz w:val="20"/>
                <w:szCs w:val="20"/>
              </w:rPr>
              <w:t xml:space="preserve">ZŠ, ZŠ </w:t>
            </w:r>
            <w:r w:rsidR="00A263C6">
              <w:rPr>
                <w:sz w:val="20"/>
                <w:szCs w:val="20"/>
              </w:rPr>
              <w:t>a</w:t>
            </w:r>
            <w:r w:rsidRPr="00C4542A">
              <w:rPr>
                <w:sz w:val="20"/>
                <w:szCs w:val="20"/>
              </w:rPr>
              <w:t xml:space="preserve"> MŠ</w:t>
            </w:r>
          </w:p>
        </w:tc>
        <w:tc>
          <w:tcPr>
            <w:tcW w:w="1559" w:type="dxa"/>
            <w:tcBorders>
              <w:top w:val="single" w:sz="4" w:space="0" w:color="auto"/>
              <w:left w:val="single" w:sz="4" w:space="0" w:color="auto"/>
              <w:bottom w:val="single" w:sz="4" w:space="0" w:color="auto"/>
              <w:right w:val="single" w:sz="4" w:space="0" w:color="auto"/>
            </w:tcBorders>
            <w:vAlign w:val="center"/>
          </w:tcPr>
          <w:p w:rsidR="001E46C0" w:rsidRPr="00C4542A" w:rsidRDefault="001A101B" w:rsidP="00351854">
            <w:pPr>
              <w:jc w:val="right"/>
              <w:rPr>
                <w:sz w:val="20"/>
                <w:szCs w:val="20"/>
              </w:rPr>
            </w:pPr>
            <w:r w:rsidRPr="00C4542A">
              <w:rPr>
                <w:sz w:val="20"/>
                <w:szCs w:val="20"/>
              </w:rPr>
              <w:t>3</w:t>
            </w:r>
            <w:r w:rsidR="00351854">
              <w:rPr>
                <w:sz w:val="20"/>
                <w:szCs w:val="20"/>
              </w:rPr>
              <w:t>.</w:t>
            </w:r>
            <w:r w:rsidRPr="00C4542A">
              <w:rPr>
                <w:sz w:val="20"/>
                <w:szCs w:val="20"/>
              </w:rPr>
              <w:t>640</w:t>
            </w:r>
            <w:r w:rsidR="00351854">
              <w:rPr>
                <w:sz w:val="20"/>
                <w:szCs w:val="20"/>
              </w:rPr>
              <w:t>.</w:t>
            </w:r>
            <w:r w:rsidRPr="00C4542A">
              <w:rPr>
                <w:sz w:val="20"/>
                <w:szCs w:val="20"/>
              </w:rPr>
              <w:t>389,96</w:t>
            </w:r>
          </w:p>
        </w:tc>
        <w:tc>
          <w:tcPr>
            <w:tcW w:w="1559" w:type="dxa"/>
            <w:tcBorders>
              <w:top w:val="single" w:sz="4" w:space="0" w:color="auto"/>
              <w:left w:val="single" w:sz="4" w:space="0" w:color="auto"/>
              <w:bottom w:val="single" w:sz="4" w:space="0" w:color="auto"/>
              <w:right w:val="single" w:sz="4" w:space="0" w:color="auto"/>
            </w:tcBorders>
            <w:vAlign w:val="center"/>
          </w:tcPr>
          <w:p w:rsidR="001E46C0" w:rsidRPr="00C4542A" w:rsidRDefault="00205F32" w:rsidP="00351854">
            <w:pPr>
              <w:jc w:val="right"/>
              <w:rPr>
                <w:sz w:val="20"/>
                <w:szCs w:val="20"/>
              </w:rPr>
            </w:pPr>
            <w:r w:rsidRPr="00C4542A">
              <w:rPr>
                <w:sz w:val="20"/>
                <w:szCs w:val="20"/>
              </w:rPr>
              <w:t>3</w:t>
            </w:r>
            <w:r w:rsidR="00351854">
              <w:rPr>
                <w:sz w:val="20"/>
                <w:szCs w:val="20"/>
              </w:rPr>
              <w:t>.</w:t>
            </w:r>
            <w:r w:rsidRPr="00C4542A">
              <w:rPr>
                <w:sz w:val="20"/>
                <w:szCs w:val="20"/>
              </w:rPr>
              <w:t>450</w:t>
            </w:r>
            <w:r w:rsidR="00351854">
              <w:rPr>
                <w:sz w:val="20"/>
                <w:szCs w:val="20"/>
              </w:rPr>
              <w:t>.</w:t>
            </w:r>
            <w:r w:rsidRPr="00C4542A">
              <w:rPr>
                <w:sz w:val="20"/>
                <w:szCs w:val="20"/>
              </w:rPr>
              <w:t>687,32</w:t>
            </w:r>
          </w:p>
        </w:tc>
        <w:tc>
          <w:tcPr>
            <w:tcW w:w="1560" w:type="dxa"/>
            <w:tcBorders>
              <w:top w:val="single" w:sz="4" w:space="0" w:color="auto"/>
              <w:left w:val="single" w:sz="4" w:space="0" w:color="auto"/>
              <w:bottom w:val="single" w:sz="4" w:space="0" w:color="auto"/>
              <w:right w:val="single" w:sz="4" w:space="0" w:color="auto"/>
            </w:tcBorders>
            <w:vAlign w:val="center"/>
          </w:tcPr>
          <w:p w:rsidR="001E46C0" w:rsidRPr="00C4542A" w:rsidRDefault="001E46C0" w:rsidP="00351854">
            <w:pPr>
              <w:jc w:val="right"/>
              <w:rPr>
                <w:sz w:val="20"/>
                <w:szCs w:val="20"/>
              </w:rPr>
            </w:pPr>
            <w:r w:rsidRPr="00C4542A">
              <w:rPr>
                <w:sz w:val="20"/>
                <w:szCs w:val="20"/>
              </w:rPr>
              <w:t>189</w:t>
            </w:r>
            <w:r w:rsidR="00351854">
              <w:rPr>
                <w:sz w:val="20"/>
                <w:szCs w:val="20"/>
              </w:rPr>
              <w:t>.</w:t>
            </w:r>
            <w:r w:rsidRPr="00C4542A">
              <w:rPr>
                <w:sz w:val="20"/>
                <w:szCs w:val="20"/>
              </w:rPr>
              <w:t>702,64</w:t>
            </w:r>
          </w:p>
        </w:tc>
        <w:tc>
          <w:tcPr>
            <w:tcW w:w="1417" w:type="dxa"/>
            <w:tcBorders>
              <w:top w:val="single" w:sz="4" w:space="0" w:color="auto"/>
              <w:left w:val="single" w:sz="4" w:space="0" w:color="auto"/>
              <w:bottom w:val="single" w:sz="4" w:space="0" w:color="auto"/>
              <w:right w:val="single" w:sz="4" w:space="0" w:color="auto"/>
            </w:tcBorders>
            <w:vAlign w:val="center"/>
          </w:tcPr>
          <w:p w:rsidR="001E46C0" w:rsidRPr="00C4542A" w:rsidRDefault="001E46C0" w:rsidP="00351854">
            <w:pPr>
              <w:jc w:val="right"/>
              <w:rPr>
                <w:sz w:val="20"/>
                <w:szCs w:val="20"/>
              </w:rPr>
            </w:pPr>
            <w:r w:rsidRPr="00C4542A">
              <w:rPr>
                <w:sz w:val="20"/>
                <w:szCs w:val="20"/>
              </w:rPr>
              <w:t>1</w:t>
            </w:r>
            <w:r w:rsidR="00351854">
              <w:rPr>
                <w:sz w:val="20"/>
                <w:szCs w:val="20"/>
              </w:rPr>
              <w:t>.</w:t>
            </w:r>
            <w:r w:rsidRPr="00C4542A">
              <w:rPr>
                <w:sz w:val="20"/>
                <w:szCs w:val="20"/>
              </w:rPr>
              <w:t>431</w:t>
            </w:r>
            <w:r w:rsidR="00351854">
              <w:rPr>
                <w:sz w:val="20"/>
                <w:szCs w:val="20"/>
              </w:rPr>
              <w:t>.</w:t>
            </w:r>
            <w:r w:rsidRPr="00C4542A">
              <w:rPr>
                <w:sz w:val="20"/>
                <w:szCs w:val="20"/>
              </w:rPr>
              <w:t>950,32</w:t>
            </w:r>
          </w:p>
        </w:tc>
        <w:tc>
          <w:tcPr>
            <w:tcW w:w="1417" w:type="dxa"/>
            <w:tcBorders>
              <w:top w:val="single" w:sz="4" w:space="0" w:color="auto"/>
              <w:left w:val="single" w:sz="4" w:space="0" w:color="auto"/>
              <w:bottom w:val="single" w:sz="4" w:space="0" w:color="auto"/>
              <w:right w:val="single" w:sz="4" w:space="0" w:color="auto"/>
            </w:tcBorders>
            <w:vAlign w:val="center"/>
          </w:tcPr>
          <w:p w:rsidR="001E46C0" w:rsidRPr="00C4542A" w:rsidRDefault="001E46C0" w:rsidP="00351854">
            <w:pPr>
              <w:jc w:val="right"/>
              <w:rPr>
                <w:sz w:val="20"/>
                <w:szCs w:val="20"/>
              </w:rPr>
            </w:pPr>
            <w:r w:rsidRPr="00C4542A">
              <w:rPr>
                <w:sz w:val="20"/>
                <w:szCs w:val="20"/>
              </w:rPr>
              <w:t>2</w:t>
            </w:r>
            <w:r w:rsidR="00351854">
              <w:rPr>
                <w:sz w:val="20"/>
                <w:szCs w:val="20"/>
              </w:rPr>
              <w:t>.018.</w:t>
            </w:r>
            <w:r w:rsidRPr="00C4542A">
              <w:rPr>
                <w:sz w:val="20"/>
                <w:szCs w:val="20"/>
              </w:rPr>
              <w:t>737,00</w:t>
            </w:r>
          </w:p>
        </w:tc>
      </w:tr>
      <w:tr w:rsidR="001E46C0" w:rsidRPr="00C4542A" w:rsidTr="001A101B">
        <w:trPr>
          <w:trHeight w:val="353"/>
        </w:trPr>
        <w:tc>
          <w:tcPr>
            <w:tcW w:w="1560" w:type="dxa"/>
            <w:tcBorders>
              <w:top w:val="single" w:sz="4" w:space="0" w:color="auto"/>
              <w:left w:val="single" w:sz="4" w:space="0" w:color="auto"/>
              <w:bottom w:val="single" w:sz="4" w:space="0" w:color="auto"/>
              <w:right w:val="single" w:sz="4" w:space="0" w:color="auto"/>
            </w:tcBorders>
            <w:vAlign w:val="center"/>
          </w:tcPr>
          <w:p w:rsidR="001E46C0" w:rsidRPr="00C4542A" w:rsidRDefault="001E46C0" w:rsidP="008B40A5">
            <w:pPr>
              <w:rPr>
                <w:sz w:val="20"/>
                <w:szCs w:val="20"/>
              </w:rPr>
            </w:pPr>
            <w:r w:rsidRPr="00C4542A">
              <w:rPr>
                <w:sz w:val="20"/>
                <w:szCs w:val="20"/>
              </w:rPr>
              <w:t>MŠ</w:t>
            </w:r>
          </w:p>
        </w:tc>
        <w:tc>
          <w:tcPr>
            <w:tcW w:w="1559" w:type="dxa"/>
            <w:tcBorders>
              <w:top w:val="single" w:sz="4" w:space="0" w:color="auto"/>
              <w:left w:val="single" w:sz="4" w:space="0" w:color="auto"/>
              <w:bottom w:val="single" w:sz="4" w:space="0" w:color="auto"/>
              <w:right w:val="single" w:sz="4" w:space="0" w:color="auto"/>
            </w:tcBorders>
            <w:vAlign w:val="center"/>
          </w:tcPr>
          <w:p w:rsidR="001E46C0" w:rsidRPr="00C4542A" w:rsidRDefault="001A101B" w:rsidP="00351854">
            <w:pPr>
              <w:jc w:val="right"/>
              <w:rPr>
                <w:sz w:val="20"/>
                <w:szCs w:val="20"/>
              </w:rPr>
            </w:pPr>
            <w:r w:rsidRPr="00C4542A">
              <w:rPr>
                <w:sz w:val="20"/>
                <w:szCs w:val="20"/>
              </w:rPr>
              <w:t>2</w:t>
            </w:r>
            <w:r w:rsidR="00351854">
              <w:rPr>
                <w:sz w:val="20"/>
                <w:szCs w:val="20"/>
              </w:rPr>
              <w:t>.</w:t>
            </w:r>
            <w:r w:rsidRPr="00C4542A">
              <w:rPr>
                <w:sz w:val="20"/>
                <w:szCs w:val="20"/>
              </w:rPr>
              <w:t>174</w:t>
            </w:r>
            <w:r w:rsidR="00351854">
              <w:rPr>
                <w:sz w:val="20"/>
                <w:szCs w:val="20"/>
              </w:rPr>
              <w:t>.</w:t>
            </w:r>
            <w:r w:rsidRPr="00C4542A">
              <w:rPr>
                <w:sz w:val="20"/>
                <w:szCs w:val="20"/>
              </w:rPr>
              <w:t>534,85</w:t>
            </w:r>
          </w:p>
        </w:tc>
        <w:tc>
          <w:tcPr>
            <w:tcW w:w="1559" w:type="dxa"/>
            <w:tcBorders>
              <w:top w:val="single" w:sz="4" w:space="0" w:color="auto"/>
              <w:left w:val="single" w:sz="4" w:space="0" w:color="auto"/>
              <w:bottom w:val="single" w:sz="4" w:space="0" w:color="auto"/>
              <w:right w:val="single" w:sz="4" w:space="0" w:color="auto"/>
            </w:tcBorders>
            <w:vAlign w:val="center"/>
          </w:tcPr>
          <w:p w:rsidR="001E46C0" w:rsidRPr="00C4542A" w:rsidRDefault="00205F32" w:rsidP="00351854">
            <w:pPr>
              <w:jc w:val="right"/>
              <w:rPr>
                <w:sz w:val="20"/>
                <w:szCs w:val="20"/>
              </w:rPr>
            </w:pPr>
            <w:r w:rsidRPr="00C4542A">
              <w:rPr>
                <w:sz w:val="20"/>
                <w:szCs w:val="20"/>
              </w:rPr>
              <w:t>1</w:t>
            </w:r>
            <w:r w:rsidR="00351854">
              <w:rPr>
                <w:sz w:val="20"/>
                <w:szCs w:val="20"/>
              </w:rPr>
              <w:t>.</w:t>
            </w:r>
            <w:r w:rsidRPr="00C4542A">
              <w:rPr>
                <w:sz w:val="20"/>
                <w:szCs w:val="20"/>
              </w:rPr>
              <w:t>404</w:t>
            </w:r>
            <w:r w:rsidR="00351854">
              <w:rPr>
                <w:sz w:val="20"/>
                <w:szCs w:val="20"/>
              </w:rPr>
              <w:t>.</w:t>
            </w:r>
            <w:r w:rsidRPr="00C4542A">
              <w:rPr>
                <w:sz w:val="20"/>
                <w:szCs w:val="20"/>
              </w:rPr>
              <w:t>747,27</w:t>
            </w:r>
          </w:p>
        </w:tc>
        <w:tc>
          <w:tcPr>
            <w:tcW w:w="1560" w:type="dxa"/>
            <w:tcBorders>
              <w:top w:val="single" w:sz="4" w:space="0" w:color="auto"/>
              <w:left w:val="single" w:sz="4" w:space="0" w:color="auto"/>
              <w:bottom w:val="single" w:sz="4" w:space="0" w:color="auto"/>
              <w:right w:val="single" w:sz="4" w:space="0" w:color="auto"/>
            </w:tcBorders>
            <w:vAlign w:val="center"/>
          </w:tcPr>
          <w:p w:rsidR="001E46C0" w:rsidRPr="00C4542A" w:rsidRDefault="001E46C0" w:rsidP="00351854">
            <w:pPr>
              <w:jc w:val="right"/>
              <w:rPr>
                <w:sz w:val="20"/>
                <w:szCs w:val="20"/>
              </w:rPr>
            </w:pPr>
            <w:r w:rsidRPr="00C4542A">
              <w:rPr>
                <w:sz w:val="20"/>
                <w:szCs w:val="20"/>
              </w:rPr>
              <w:t>769</w:t>
            </w:r>
            <w:r w:rsidR="00351854">
              <w:rPr>
                <w:sz w:val="20"/>
                <w:szCs w:val="20"/>
              </w:rPr>
              <w:t>.</w:t>
            </w:r>
            <w:r w:rsidRPr="00C4542A">
              <w:rPr>
                <w:sz w:val="20"/>
                <w:szCs w:val="20"/>
              </w:rPr>
              <w:t>787,58</w:t>
            </w:r>
          </w:p>
        </w:tc>
        <w:tc>
          <w:tcPr>
            <w:tcW w:w="1417" w:type="dxa"/>
            <w:tcBorders>
              <w:top w:val="single" w:sz="4" w:space="0" w:color="auto"/>
              <w:left w:val="single" w:sz="4" w:space="0" w:color="auto"/>
              <w:bottom w:val="single" w:sz="4" w:space="0" w:color="auto"/>
              <w:right w:val="single" w:sz="4" w:space="0" w:color="auto"/>
            </w:tcBorders>
            <w:vAlign w:val="center"/>
          </w:tcPr>
          <w:p w:rsidR="001E46C0" w:rsidRPr="00C4542A" w:rsidRDefault="001E46C0" w:rsidP="00351854">
            <w:pPr>
              <w:jc w:val="right"/>
              <w:rPr>
                <w:sz w:val="20"/>
                <w:szCs w:val="20"/>
              </w:rPr>
            </w:pPr>
            <w:r w:rsidRPr="00C4542A">
              <w:rPr>
                <w:sz w:val="20"/>
                <w:szCs w:val="20"/>
              </w:rPr>
              <w:t>770</w:t>
            </w:r>
            <w:r w:rsidR="00351854">
              <w:rPr>
                <w:sz w:val="20"/>
                <w:szCs w:val="20"/>
              </w:rPr>
              <w:t>.</w:t>
            </w:r>
            <w:r w:rsidRPr="00C4542A">
              <w:rPr>
                <w:sz w:val="20"/>
                <w:szCs w:val="20"/>
              </w:rPr>
              <w:t>725,77</w:t>
            </w:r>
          </w:p>
        </w:tc>
        <w:tc>
          <w:tcPr>
            <w:tcW w:w="1417" w:type="dxa"/>
            <w:tcBorders>
              <w:top w:val="single" w:sz="4" w:space="0" w:color="auto"/>
              <w:left w:val="single" w:sz="4" w:space="0" w:color="auto"/>
              <w:bottom w:val="single" w:sz="4" w:space="0" w:color="auto"/>
              <w:right w:val="single" w:sz="4" w:space="0" w:color="auto"/>
            </w:tcBorders>
            <w:vAlign w:val="center"/>
          </w:tcPr>
          <w:p w:rsidR="001E46C0" w:rsidRPr="00C4542A" w:rsidRDefault="001E46C0" w:rsidP="00351854">
            <w:pPr>
              <w:jc w:val="right"/>
              <w:rPr>
                <w:sz w:val="20"/>
                <w:szCs w:val="20"/>
              </w:rPr>
            </w:pPr>
            <w:r w:rsidRPr="00C4542A">
              <w:rPr>
                <w:sz w:val="20"/>
                <w:szCs w:val="20"/>
              </w:rPr>
              <w:t>634</w:t>
            </w:r>
            <w:r w:rsidR="00351854">
              <w:rPr>
                <w:sz w:val="20"/>
                <w:szCs w:val="20"/>
              </w:rPr>
              <w:t>.</w:t>
            </w:r>
            <w:r w:rsidRPr="00C4542A">
              <w:rPr>
                <w:sz w:val="20"/>
                <w:szCs w:val="20"/>
              </w:rPr>
              <w:t>021,50</w:t>
            </w:r>
          </w:p>
        </w:tc>
      </w:tr>
      <w:tr w:rsidR="001E46C0" w:rsidRPr="00C4542A" w:rsidTr="001A101B">
        <w:trPr>
          <w:trHeight w:val="353"/>
        </w:trPr>
        <w:tc>
          <w:tcPr>
            <w:tcW w:w="1560" w:type="dxa"/>
            <w:tcBorders>
              <w:top w:val="single" w:sz="4" w:space="0" w:color="auto"/>
              <w:left w:val="single" w:sz="4" w:space="0" w:color="auto"/>
              <w:bottom w:val="single" w:sz="4" w:space="0" w:color="auto"/>
              <w:right w:val="single" w:sz="4" w:space="0" w:color="auto"/>
            </w:tcBorders>
            <w:vAlign w:val="center"/>
          </w:tcPr>
          <w:p w:rsidR="001E46C0" w:rsidRPr="00C4542A" w:rsidRDefault="001E46C0" w:rsidP="008B40A5">
            <w:pPr>
              <w:rPr>
                <w:sz w:val="20"/>
                <w:szCs w:val="20"/>
              </w:rPr>
            </w:pPr>
            <w:r w:rsidRPr="00C4542A">
              <w:rPr>
                <w:sz w:val="20"/>
                <w:szCs w:val="20"/>
              </w:rPr>
              <w:t>CSOP</w:t>
            </w:r>
          </w:p>
        </w:tc>
        <w:tc>
          <w:tcPr>
            <w:tcW w:w="1559" w:type="dxa"/>
            <w:tcBorders>
              <w:top w:val="single" w:sz="4" w:space="0" w:color="auto"/>
              <w:left w:val="single" w:sz="4" w:space="0" w:color="auto"/>
              <w:bottom w:val="single" w:sz="4" w:space="0" w:color="auto"/>
              <w:right w:val="single" w:sz="4" w:space="0" w:color="auto"/>
            </w:tcBorders>
            <w:vAlign w:val="center"/>
          </w:tcPr>
          <w:p w:rsidR="001E46C0" w:rsidRPr="00C4542A" w:rsidRDefault="00351854" w:rsidP="00205F32">
            <w:pPr>
              <w:jc w:val="right"/>
              <w:rPr>
                <w:sz w:val="20"/>
                <w:szCs w:val="20"/>
              </w:rPr>
            </w:pPr>
            <w:r>
              <w:rPr>
                <w:sz w:val="20"/>
                <w:szCs w:val="20"/>
              </w:rPr>
              <w:t>521.</w:t>
            </w:r>
            <w:r w:rsidR="001A101B" w:rsidRPr="00C4542A">
              <w:rPr>
                <w:sz w:val="20"/>
                <w:szCs w:val="20"/>
              </w:rPr>
              <w:t>451,04</w:t>
            </w:r>
          </w:p>
        </w:tc>
        <w:tc>
          <w:tcPr>
            <w:tcW w:w="1559" w:type="dxa"/>
            <w:tcBorders>
              <w:top w:val="single" w:sz="4" w:space="0" w:color="auto"/>
              <w:left w:val="single" w:sz="4" w:space="0" w:color="auto"/>
              <w:bottom w:val="single" w:sz="4" w:space="0" w:color="auto"/>
              <w:right w:val="single" w:sz="4" w:space="0" w:color="auto"/>
            </w:tcBorders>
            <w:vAlign w:val="center"/>
          </w:tcPr>
          <w:p w:rsidR="001E46C0" w:rsidRPr="00C4542A" w:rsidRDefault="00205F32" w:rsidP="00351854">
            <w:pPr>
              <w:jc w:val="right"/>
              <w:rPr>
                <w:sz w:val="20"/>
                <w:szCs w:val="20"/>
              </w:rPr>
            </w:pPr>
            <w:r w:rsidRPr="00C4542A">
              <w:rPr>
                <w:sz w:val="20"/>
                <w:szCs w:val="20"/>
              </w:rPr>
              <w:t>310</w:t>
            </w:r>
            <w:r w:rsidR="00351854">
              <w:rPr>
                <w:sz w:val="20"/>
                <w:szCs w:val="20"/>
              </w:rPr>
              <w:t>.</w:t>
            </w:r>
            <w:r w:rsidRPr="00C4542A">
              <w:rPr>
                <w:sz w:val="20"/>
                <w:szCs w:val="20"/>
              </w:rPr>
              <w:t>132,88</w:t>
            </w:r>
          </w:p>
        </w:tc>
        <w:tc>
          <w:tcPr>
            <w:tcW w:w="1560" w:type="dxa"/>
            <w:tcBorders>
              <w:top w:val="single" w:sz="4" w:space="0" w:color="auto"/>
              <w:left w:val="single" w:sz="4" w:space="0" w:color="auto"/>
              <w:bottom w:val="single" w:sz="4" w:space="0" w:color="auto"/>
              <w:right w:val="single" w:sz="4" w:space="0" w:color="auto"/>
            </w:tcBorders>
            <w:vAlign w:val="center"/>
          </w:tcPr>
          <w:p w:rsidR="001E46C0" w:rsidRPr="00C4542A" w:rsidRDefault="001E46C0" w:rsidP="00351854">
            <w:pPr>
              <w:jc w:val="right"/>
              <w:rPr>
                <w:sz w:val="20"/>
                <w:szCs w:val="20"/>
              </w:rPr>
            </w:pPr>
            <w:r w:rsidRPr="00C4542A">
              <w:rPr>
                <w:sz w:val="20"/>
                <w:szCs w:val="20"/>
              </w:rPr>
              <w:t>211</w:t>
            </w:r>
            <w:r w:rsidR="00351854">
              <w:rPr>
                <w:sz w:val="20"/>
                <w:szCs w:val="20"/>
              </w:rPr>
              <w:t>.</w:t>
            </w:r>
            <w:r w:rsidRPr="00C4542A">
              <w:rPr>
                <w:sz w:val="20"/>
                <w:szCs w:val="20"/>
              </w:rPr>
              <w:t>318,16</w:t>
            </w:r>
          </w:p>
        </w:tc>
        <w:tc>
          <w:tcPr>
            <w:tcW w:w="1417" w:type="dxa"/>
            <w:tcBorders>
              <w:top w:val="single" w:sz="4" w:space="0" w:color="auto"/>
              <w:left w:val="single" w:sz="4" w:space="0" w:color="auto"/>
              <w:bottom w:val="single" w:sz="4" w:space="0" w:color="auto"/>
              <w:right w:val="single" w:sz="4" w:space="0" w:color="auto"/>
            </w:tcBorders>
            <w:vAlign w:val="center"/>
          </w:tcPr>
          <w:p w:rsidR="001E46C0" w:rsidRPr="00C4542A" w:rsidRDefault="001E46C0" w:rsidP="00351854">
            <w:pPr>
              <w:jc w:val="right"/>
              <w:rPr>
                <w:sz w:val="20"/>
                <w:szCs w:val="20"/>
              </w:rPr>
            </w:pPr>
            <w:r w:rsidRPr="00C4542A">
              <w:rPr>
                <w:sz w:val="20"/>
                <w:szCs w:val="20"/>
              </w:rPr>
              <w:t>310</w:t>
            </w:r>
            <w:r w:rsidR="00351854">
              <w:rPr>
                <w:sz w:val="20"/>
                <w:szCs w:val="20"/>
              </w:rPr>
              <w:t>.</w:t>
            </w:r>
            <w:r w:rsidRPr="00C4542A">
              <w:rPr>
                <w:sz w:val="20"/>
                <w:szCs w:val="20"/>
              </w:rPr>
              <w:t>132,88</w:t>
            </w:r>
          </w:p>
        </w:tc>
        <w:tc>
          <w:tcPr>
            <w:tcW w:w="1417" w:type="dxa"/>
            <w:tcBorders>
              <w:top w:val="single" w:sz="4" w:space="0" w:color="auto"/>
              <w:left w:val="single" w:sz="4" w:space="0" w:color="auto"/>
              <w:bottom w:val="single" w:sz="4" w:space="0" w:color="auto"/>
              <w:right w:val="single" w:sz="4" w:space="0" w:color="auto"/>
            </w:tcBorders>
            <w:vAlign w:val="center"/>
          </w:tcPr>
          <w:p w:rsidR="001E46C0" w:rsidRPr="00C4542A" w:rsidRDefault="001E46C0" w:rsidP="008B40A5">
            <w:pPr>
              <w:jc w:val="right"/>
              <w:rPr>
                <w:sz w:val="20"/>
                <w:szCs w:val="20"/>
              </w:rPr>
            </w:pPr>
            <w:r w:rsidRPr="00C4542A">
              <w:rPr>
                <w:sz w:val="20"/>
                <w:szCs w:val="20"/>
              </w:rPr>
              <w:t>0,00</w:t>
            </w:r>
          </w:p>
        </w:tc>
      </w:tr>
      <w:tr w:rsidR="001E46C0" w:rsidRPr="00C4542A" w:rsidTr="001A101B">
        <w:trPr>
          <w:trHeight w:val="353"/>
        </w:trPr>
        <w:tc>
          <w:tcPr>
            <w:tcW w:w="1560" w:type="dxa"/>
            <w:tcBorders>
              <w:top w:val="single" w:sz="4" w:space="0" w:color="auto"/>
              <w:left w:val="single" w:sz="4" w:space="0" w:color="auto"/>
              <w:bottom w:val="single" w:sz="4" w:space="0" w:color="auto"/>
              <w:right w:val="single" w:sz="4" w:space="0" w:color="auto"/>
            </w:tcBorders>
            <w:vAlign w:val="center"/>
          </w:tcPr>
          <w:p w:rsidR="001E46C0" w:rsidRPr="00C4542A" w:rsidRDefault="001E46C0" w:rsidP="008B40A5">
            <w:pPr>
              <w:rPr>
                <w:sz w:val="20"/>
                <w:szCs w:val="20"/>
              </w:rPr>
            </w:pPr>
            <w:r w:rsidRPr="00C4542A">
              <w:rPr>
                <w:sz w:val="20"/>
                <w:szCs w:val="20"/>
              </w:rPr>
              <w:t xml:space="preserve">KK Poštovka </w:t>
            </w:r>
          </w:p>
        </w:tc>
        <w:tc>
          <w:tcPr>
            <w:tcW w:w="1559" w:type="dxa"/>
            <w:tcBorders>
              <w:top w:val="single" w:sz="4" w:space="0" w:color="auto"/>
              <w:left w:val="single" w:sz="4" w:space="0" w:color="auto"/>
              <w:bottom w:val="single" w:sz="4" w:space="0" w:color="auto"/>
              <w:right w:val="single" w:sz="4" w:space="0" w:color="auto"/>
            </w:tcBorders>
            <w:vAlign w:val="center"/>
          </w:tcPr>
          <w:p w:rsidR="001E46C0" w:rsidRPr="00C4542A" w:rsidRDefault="001A101B" w:rsidP="00351854">
            <w:pPr>
              <w:jc w:val="right"/>
              <w:rPr>
                <w:sz w:val="20"/>
                <w:szCs w:val="20"/>
              </w:rPr>
            </w:pPr>
            <w:r w:rsidRPr="00C4542A">
              <w:rPr>
                <w:sz w:val="20"/>
                <w:szCs w:val="20"/>
              </w:rPr>
              <w:t>134</w:t>
            </w:r>
            <w:r w:rsidR="00351854">
              <w:rPr>
                <w:sz w:val="20"/>
                <w:szCs w:val="20"/>
              </w:rPr>
              <w:t>.</w:t>
            </w:r>
            <w:r w:rsidRPr="00C4542A">
              <w:rPr>
                <w:sz w:val="20"/>
                <w:szCs w:val="20"/>
              </w:rPr>
              <w:t>443,00</w:t>
            </w:r>
          </w:p>
        </w:tc>
        <w:tc>
          <w:tcPr>
            <w:tcW w:w="1559" w:type="dxa"/>
            <w:tcBorders>
              <w:top w:val="single" w:sz="4" w:space="0" w:color="auto"/>
              <w:left w:val="single" w:sz="4" w:space="0" w:color="auto"/>
              <w:bottom w:val="single" w:sz="4" w:space="0" w:color="auto"/>
              <w:right w:val="single" w:sz="4" w:space="0" w:color="auto"/>
            </w:tcBorders>
            <w:vAlign w:val="center"/>
          </w:tcPr>
          <w:p w:rsidR="001E46C0" w:rsidRPr="00C4542A" w:rsidRDefault="00205F32" w:rsidP="00351854">
            <w:pPr>
              <w:jc w:val="right"/>
              <w:rPr>
                <w:sz w:val="20"/>
                <w:szCs w:val="20"/>
              </w:rPr>
            </w:pPr>
            <w:r w:rsidRPr="00C4542A">
              <w:rPr>
                <w:sz w:val="20"/>
                <w:szCs w:val="20"/>
              </w:rPr>
              <w:t>134</w:t>
            </w:r>
            <w:r w:rsidR="00351854">
              <w:rPr>
                <w:sz w:val="20"/>
                <w:szCs w:val="20"/>
              </w:rPr>
              <w:t>.</w:t>
            </w:r>
            <w:r w:rsidRPr="00C4542A">
              <w:rPr>
                <w:sz w:val="20"/>
                <w:szCs w:val="20"/>
              </w:rPr>
              <w:t>443,00</w:t>
            </w:r>
          </w:p>
        </w:tc>
        <w:tc>
          <w:tcPr>
            <w:tcW w:w="1560" w:type="dxa"/>
            <w:tcBorders>
              <w:top w:val="single" w:sz="4" w:space="0" w:color="auto"/>
              <w:left w:val="single" w:sz="4" w:space="0" w:color="auto"/>
              <w:bottom w:val="single" w:sz="4" w:space="0" w:color="auto"/>
              <w:right w:val="single" w:sz="4" w:space="0" w:color="auto"/>
            </w:tcBorders>
            <w:vAlign w:val="center"/>
          </w:tcPr>
          <w:p w:rsidR="001E46C0" w:rsidRPr="00C4542A" w:rsidRDefault="001E46C0" w:rsidP="008B40A5">
            <w:pPr>
              <w:jc w:val="right"/>
              <w:rPr>
                <w:sz w:val="20"/>
                <w:szCs w:val="20"/>
              </w:rPr>
            </w:pPr>
            <w:r w:rsidRPr="00C4542A">
              <w:rPr>
                <w:sz w:val="20"/>
                <w:szCs w:val="20"/>
              </w:rPr>
              <w:t>0,00</w:t>
            </w:r>
          </w:p>
        </w:tc>
        <w:tc>
          <w:tcPr>
            <w:tcW w:w="1417" w:type="dxa"/>
            <w:tcBorders>
              <w:top w:val="single" w:sz="4" w:space="0" w:color="auto"/>
              <w:left w:val="single" w:sz="4" w:space="0" w:color="auto"/>
              <w:bottom w:val="single" w:sz="4" w:space="0" w:color="auto"/>
              <w:right w:val="single" w:sz="4" w:space="0" w:color="auto"/>
            </w:tcBorders>
            <w:vAlign w:val="center"/>
          </w:tcPr>
          <w:p w:rsidR="001E46C0" w:rsidRPr="00C4542A" w:rsidRDefault="001E46C0" w:rsidP="00351854">
            <w:pPr>
              <w:jc w:val="right"/>
              <w:rPr>
                <w:sz w:val="20"/>
                <w:szCs w:val="20"/>
              </w:rPr>
            </w:pPr>
            <w:r w:rsidRPr="00C4542A">
              <w:rPr>
                <w:sz w:val="20"/>
                <w:szCs w:val="20"/>
              </w:rPr>
              <w:t>100</w:t>
            </w:r>
            <w:r w:rsidR="00351854">
              <w:rPr>
                <w:sz w:val="20"/>
                <w:szCs w:val="20"/>
              </w:rPr>
              <w:t>.</w:t>
            </w:r>
            <w:r w:rsidRPr="00C4542A">
              <w:rPr>
                <w:sz w:val="20"/>
                <w:szCs w:val="20"/>
              </w:rPr>
              <w:t>000,00</w:t>
            </w:r>
          </w:p>
        </w:tc>
        <w:tc>
          <w:tcPr>
            <w:tcW w:w="1417" w:type="dxa"/>
            <w:tcBorders>
              <w:top w:val="single" w:sz="4" w:space="0" w:color="auto"/>
              <w:left w:val="single" w:sz="4" w:space="0" w:color="auto"/>
              <w:bottom w:val="single" w:sz="4" w:space="0" w:color="auto"/>
              <w:right w:val="single" w:sz="4" w:space="0" w:color="auto"/>
            </w:tcBorders>
            <w:vAlign w:val="center"/>
          </w:tcPr>
          <w:p w:rsidR="001E46C0" w:rsidRPr="00C4542A" w:rsidRDefault="001E46C0" w:rsidP="00351854">
            <w:pPr>
              <w:jc w:val="right"/>
              <w:rPr>
                <w:sz w:val="20"/>
                <w:szCs w:val="20"/>
              </w:rPr>
            </w:pPr>
            <w:r w:rsidRPr="00C4542A">
              <w:rPr>
                <w:sz w:val="20"/>
                <w:szCs w:val="20"/>
              </w:rPr>
              <w:t>34</w:t>
            </w:r>
            <w:r w:rsidR="00351854">
              <w:rPr>
                <w:sz w:val="20"/>
                <w:szCs w:val="20"/>
              </w:rPr>
              <w:t>.</w:t>
            </w:r>
            <w:r w:rsidRPr="00C4542A">
              <w:rPr>
                <w:sz w:val="20"/>
                <w:szCs w:val="20"/>
              </w:rPr>
              <w:t>443,00</w:t>
            </w:r>
          </w:p>
        </w:tc>
      </w:tr>
      <w:tr w:rsidR="001E46C0" w:rsidRPr="00C4542A" w:rsidTr="00435CAC">
        <w:trPr>
          <w:trHeight w:val="467"/>
        </w:trPr>
        <w:tc>
          <w:tcPr>
            <w:tcW w:w="1560" w:type="dxa"/>
            <w:tcBorders>
              <w:top w:val="single" w:sz="4" w:space="0" w:color="auto"/>
              <w:left w:val="single" w:sz="4" w:space="0" w:color="auto"/>
              <w:bottom w:val="single" w:sz="4" w:space="0" w:color="auto"/>
              <w:right w:val="single" w:sz="4" w:space="0" w:color="auto"/>
            </w:tcBorders>
            <w:shd w:val="clear" w:color="auto" w:fill="EEECE1"/>
            <w:vAlign w:val="center"/>
          </w:tcPr>
          <w:p w:rsidR="001E46C0" w:rsidRPr="00C4542A" w:rsidRDefault="001E46C0" w:rsidP="008B40A5">
            <w:pPr>
              <w:rPr>
                <w:b/>
                <w:sz w:val="20"/>
                <w:szCs w:val="20"/>
              </w:rPr>
            </w:pPr>
            <w:r w:rsidRPr="00C4542A">
              <w:rPr>
                <w:b/>
                <w:sz w:val="20"/>
                <w:szCs w:val="20"/>
              </w:rPr>
              <w:t>CELKEM</w:t>
            </w:r>
          </w:p>
        </w:tc>
        <w:tc>
          <w:tcPr>
            <w:tcW w:w="1559" w:type="dxa"/>
            <w:tcBorders>
              <w:top w:val="single" w:sz="4" w:space="0" w:color="auto"/>
              <w:left w:val="single" w:sz="4" w:space="0" w:color="auto"/>
              <w:bottom w:val="single" w:sz="4" w:space="0" w:color="auto"/>
              <w:right w:val="single" w:sz="4" w:space="0" w:color="auto"/>
            </w:tcBorders>
            <w:shd w:val="clear" w:color="auto" w:fill="EEECE1"/>
            <w:vAlign w:val="center"/>
          </w:tcPr>
          <w:p w:rsidR="001E46C0" w:rsidRPr="00C4542A" w:rsidRDefault="00351854" w:rsidP="00205F32">
            <w:pPr>
              <w:jc w:val="right"/>
              <w:rPr>
                <w:b/>
                <w:sz w:val="20"/>
                <w:szCs w:val="20"/>
              </w:rPr>
            </w:pPr>
            <w:r>
              <w:rPr>
                <w:b/>
                <w:sz w:val="20"/>
                <w:szCs w:val="20"/>
              </w:rPr>
              <w:t>6.470.</w:t>
            </w:r>
            <w:r w:rsidR="001A101B" w:rsidRPr="00C4542A">
              <w:rPr>
                <w:b/>
                <w:sz w:val="20"/>
                <w:szCs w:val="20"/>
              </w:rPr>
              <w:t>818,85</w:t>
            </w:r>
          </w:p>
        </w:tc>
        <w:tc>
          <w:tcPr>
            <w:tcW w:w="1559" w:type="dxa"/>
            <w:tcBorders>
              <w:top w:val="single" w:sz="4" w:space="0" w:color="auto"/>
              <w:left w:val="single" w:sz="4" w:space="0" w:color="auto"/>
              <w:bottom w:val="single" w:sz="4" w:space="0" w:color="auto"/>
              <w:right w:val="single" w:sz="4" w:space="0" w:color="auto"/>
            </w:tcBorders>
            <w:shd w:val="clear" w:color="auto" w:fill="EEECE1"/>
            <w:vAlign w:val="center"/>
          </w:tcPr>
          <w:p w:rsidR="001E46C0" w:rsidRPr="00C4542A" w:rsidRDefault="00351854" w:rsidP="00205F32">
            <w:pPr>
              <w:jc w:val="right"/>
              <w:rPr>
                <w:b/>
                <w:sz w:val="20"/>
                <w:szCs w:val="20"/>
              </w:rPr>
            </w:pPr>
            <w:r>
              <w:rPr>
                <w:b/>
                <w:sz w:val="20"/>
                <w:szCs w:val="20"/>
              </w:rPr>
              <w:t>5.300.</w:t>
            </w:r>
            <w:r w:rsidR="00205F32" w:rsidRPr="00C4542A">
              <w:rPr>
                <w:b/>
                <w:sz w:val="20"/>
                <w:szCs w:val="20"/>
              </w:rPr>
              <w:t>010,47</w:t>
            </w:r>
          </w:p>
        </w:tc>
        <w:tc>
          <w:tcPr>
            <w:tcW w:w="1560" w:type="dxa"/>
            <w:tcBorders>
              <w:top w:val="single" w:sz="4" w:space="0" w:color="auto"/>
              <w:left w:val="single" w:sz="4" w:space="0" w:color="auto"/>
              <w:bottom w:val="single" w:sz="4" w:space="0" w:color="auto"/>
              <w:right w:val="single" w:sz="4" w:space="0" w:color="auto"/>
            </w:tcBorders>
            <w:shd w:val="clear" w:color="auto" w:fill="EEECE1"/>
            <w:vAlign w:val="center"/>
          </w:tcPr>
          <w:p w:rsidR="001E46C0" w:rsidRPr="00C4542A" w:rsidRDefault="00351854" w:rsidP="004B4D92">
            <w:pPr>
              <w:jc w:val="right"/>
              <w:rPr>
                <w:b/>
                <w:sz w:val="20"/>
                <w:szCs w:val="20"/>
              </w:rPr>
            </w:pPr>
            <w:r>
              <w:rPr>
                <w:b/>
                <w:sz w:val="20"/>
                <w:szCs w:val="20"/>
              </w:rPr>
              <w:t>1.170.</w:t>
            </w:r>
            <w:r w:rsidR="001E46C0" w:rsidRPr="00C4542A">
              <w:rPr>
                <w:b/>
                <w:sz w:val="20"/>
                <w:szCs w:val="20"/>
              </w:rPr>
              <w:t>808,38</w:t>
            </w: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rsidR="001E46C0" w:rsidRPr="00C4542A" w:rsidRDefault="001E46C0" w:rsidP="00351854">
            <w:pPr>
              <w:jc w:val="right"/>
              <w:rPr>
                <w:b/>
                <w:sz w:val="20"/>
                <w:szCs w:val="20"/>
                <w:highlight w:val="yellow"/>
              </w:rPr>
            </w:pPr>
            <w:r w:rsidRPr="00C4542A">
              <w:rPr>
                <w:b/>
                <w:sz w:val="20"/>
                <w:szCs w:val="20"/>
              </w:rPr>
              <w:t>2</w:t>
            </w:r>
            <w:r w:rsidR="00351854">
              <w:rPr>
                <w:b/>
                <w:sz w:val="20"/>
                <w:szCs w:val="20"/>
              </w:rPr>
              <w:t>.</w:t>
            </w:r>
            <w:r w:rsidRPr="00C4542A">
              <w:rPr>
                <w:b/>
                <w:sz w:val="20"/>
                <w:szCs w:val="20"/>
              </w:rPr>
              <w:t>612</w:t>
            </w:r>
            <w:r w:rsidR="00351854">
              <w:rPr>
                <w:b/>
                <w:sz w:val="20"/>
                <w:szCs w:val="20"/>
              </w:rPr>
              <w:t>.</w:t>
            </w:r>
            <w:r w:rsidRPr="00C4542A">
              <w:rPr>
                <w:b/>
                <w:sz w:val="20"/>
                <w:szCs w:val="20"/>
              </w:rPr>
              <w:t>808,97</w:t>
            </w: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rsidR="001E46C0" w:rsidRPr="00C4542A" w:rsidRDefault="001E46C0" w:rsidP="00351854">
            <w:pPr>
              <w:jc w:val="right"/>
              <w:rPr>
                <w:b/>
                <w:sz w:val="20"/>
                <w:szCs w:val="20"/>
              </w:rPr>
            </w:pPr>
            <w:r w:rsidRPr="00C4542A">
              <w:rPr>
                <w:b/>
                <w:sz w:val="20"/>
                <w:szCs w:val="20"/>
              </w:rPr>
              <w:t>2</w:t>
            </w:r>
            <w:r w:rsidR="00351854">
              <w:rPr>
                <w:b/>
                <w:sz w:val="20"/>
                <w:szCs w:val="20"/>
              </w:rPr>
              <w:t>.</w:t>
            </w:r>
            <w:r w:rsidRPr="00C4542A">
              <w:rPr>
                <w:b/>
                <w:sz w:val="20"/>
                <w:szCs w:val="20"/>
              </w:rPr>
              <w:t>687</w:t>
            </w:r>
            <w:r w:rsidR="00351854">
              <w:rPr>
                <w:b/>
                <w:sz w:val="20"/>
                <w:szCs w:val="20"/>
              </w:rPr>
              <w:t>.</w:t>
            </w:r>
            <w:r w:rsidRPr="00C4542A">
              <w:rPr>
                <w:b/>
                <w:sz w:val="20"/>
                <w:szCs w:val="20"/>
              </w:rPr>
              <w:t>201,50</w:t>
            </w:r>
          </w:p>
        </w:tc>
      </w:tr>
    </w:tbl>
    <w:p w:rsidR="00A263C6" w:rsidRDefault="00A263C6" w:rsidP="0088420B">
      <w:pPr>
        <w:jc w:val="both"/>
        <w:rPr>
          <w:sz w:val="22"/>
          <w:szCs w:val="22"/>
        </w:rPr>
      </w:pPr>
    </w:p>
    <w:p w:rsidR="00C87770" w:rsidRPr="00F20418" w:rsidRDefault="00290B28" w:rsidP="0088420B">
      <w:pPr>
        <w:jc w:val="both"/>
        <w:rPr>
          <w:sz w:val="22"/>
          <w:szCs w:val="22"/>
        </w:rPr>
      </w:pPr>
      <w:r>
        <w:rPr>
          <w:sz w:val="22"/>
          <w:szCs w:val="22"/>
        </w:rPr>
        <w:t>Výsledky</w:t>
      </w:r>
      <w:r w:rsidR="00E4180F" w:rsidRPr="007764C7">
        <w:rPr>
          <w:sz w:val="22"/>
          <w:szCs w:val="22"/>
        </w:rPr>
        <w:t xml:space="preserve"> hospodaření</w:t>
      </w:r>
      <w:r>
        <w:rPr>
          <w:sz w:val="22"/>
          <w:szCs w:val="22"/>
        </w:rPr>
        <w:t xml:space="preserve"> příspěvkových organizací jsou uvedeny v příloze č. 8</w:t>
      </w:r>
      <w:r w:rsidR="00E4180F" w:rsidRPr="007764C7">
        <w:rPr>
          <w:sz w:val="22"/>
          <w:szCs w:val="22"/>
        </w:rPr>
        <w:t>, převody do fondů org</w:t>
      </w:r>
      <w:r w:rsidR="00E4180F" w:rsidRPr="007764C7">
        <w:rPr>
          <w:sz w:val="22"/>
          <w:szCs w:val="22"/>
        </w:rPr>
        <w:t>a</w:t>
      </w:r>
      <w:r w:rsidR="00E4180F" w:rsidRPr="007764C7">
        <w:rPr>
          <w:sz w:val="22"/>
          <w:szCs w:val="22"/>
        </w:rPr>
        <w:t>nizací (rezervní fond a fond odměn) a odvody</w:t>
      </w:r>
      <w:r w:rsidR="00E4180F" w:rsidRPr="00F20418">
        <w:rPr>
          <w:sz w:val="22"/>
          <w:szCs w:val="22"/>
        </w:rPr>
        <w:t xml:space="preserve"> zřizovateli z nevyčerpaných příspěvků, jsou </w:t>
      </w:r>
      <w:r>
        <w:rPr>
          <w:sz w:val="22"/>
          <w:szCs w:val="22"/>
        </w:rPr>
        <w:t>shrnuty</w:t>
      </w:r>
      <w:r w:rsidR="00E4180F" w:rsidRPr="00F20418">
        <w:rPr>
          <w:sz w:val="22"/>
          <w:szCs w:val="22"/>
        </w:rPr>
        <w:t xml:space="preserve"> v příloze č. </w:t>
      </w:r>
      <w:r w:rsidR="004E1157">
        <w:rPr>
          <w:sz w:val="22"/>
          <w:szCs w:val="22"/>
        </w:rPr>
        <w:t>9</w:t>
      </w:r>
      <w:r w:rsidR="00927DFF" w:rsidRPr="00F20418">
        <w:rPr>
          <w:sz w:val="22"/>
          <w:szCs w:val="22"/>
        </w:rPr>
        <w:t>.</w:t>
      </w:r>
    </w:p>
    <w:p w:rsidR="00CF5B61" w:rsidRDefault="00CF5B61" w:rsidP="00C87770">
      <w:pPr>
        <w:rPr>
          <w:b/>
          <w:sz w:val="22"/>
          <w:szCs w:val="22"/>
        </w:rPr>
      </w:pPr>
    </w:p>
    <w:p w:rsidR="0025774B" w:rsidRDefault="0025774B" w:rsidP="00A263C6">
      <w:pPr>
        <w:pStyle w:val="Nadpis3"/>
      </w:pPr>
      <w:bookmarkStart w:id="50" w:name="_Toc385875229"/>
      <w:r w:rsidRPr="0025774B">
        <w:t>Stav majetku k 31.</w:t>
      </w:r>
      <w:r w:rsidR="00037DBE">
        <w:t xml:space="preserve"> </w:t>
      </w:r>
      <w:r w:rsidRPr="0025774B">
        <w:t>12.</w:t>
      </w:r>
      <w:r w:rsidR="00037DBE">
        <w:t xml:space="preserve"> 2013</w:t>
      </w:r>
      <w:bookmarkEnd w:id="50"/>
    </w:p>
    <w:p w:rsidR="00BE23F1" w:rsidRPr="0004564B" w:rsidRDefault="0004564B" w:rsidP="0004564B">
      <w:pPr>
        <w:jc w:val="right"/>
        <w:rPr>
          <w:sz w:val="18"/>
          <w:szCs w:val="18"/>
          <w:highlight w:val="yellow"/>
        </w:rPr>
      </w:pPr>
      <w:r w:rsidRPr="0004564B">
        <w:rPr>
          <w:sz w:val="18"/>
          <w:szCs w:val="18"/>
        </w:rPr>
        <w:t>v Kč</w:t>
      </w:r>
    </w:p>
    <w:tbl>
      <w:tblPr>
        <w:tblW w:w="9072" w:type="dxa"/>
        <w:tblInd w:w="70" w:type="dxa"/>
        <w:tblCellMar>
          <w:left w:w="70" w:type="dxa"/>
          <w:right w:w="70" w:type="dxa"/>
        </w:tblCellMar>
        <w:tblLook w:val="04A0"/>
      </w:tblPr>
      <w:tblGrid>
        <w:gridCol w:w="1560"/>
        <w:gridCol w:w="1559"/>
        <w:gridCol w:w="1559"/>
        <w:gridCol w:w="1418"/>
        <w:gridCol w:w="1559"/>
        <w:gridCol w:w="1417"/>
      </w:tblGrid>
      <w:tr w:rsidR="00BE23F1" w:rsidRPr="00C4542A" w:rsidTr="00C71CEA">
        <w:trPr>
          <w:trHeight w:val="809"/>
        </w:trPr>
        <w:tc>
          <w:tcPr>
            <w:tcW w:w="1560" w:type="dxa"/>
            <w:tcBorders>
              <w:top w:val="single" w:sz="4" w:space="0" w:color="auto"/>
              <w:left w:val="single" w:sz="4" w:space="0" w:color="auto"/>
              <w:bottom w:val="single" w:sz="8" w:space="0" w:color="000000"/>
              <w:right w:val="single" w:sz="4" w:space="0" w:color="auto"/>
            </w:tcBorders>
            <w:shd w:val="clear" w:color="auto" w:fill="EEECE1"/>
            <w:vAlign w:val="center"/>
            <w:hideMark/>
          </w:tcPr>
          <w:p w:rsidR="00BE23F1" w:rsidRPr="00C4542A" w:rsidRDefault="00BE23F1" w:rsidP="00BE23F1">
            <w:pPr>
              <w:jc w:val="center"/>
              <w:rPr>
                <w:b/>
                <w:bCs/>
                <w:sz w:val="20"/>
                <w:szCs w:val="20"/>
              </w:rPr>
            </w:pPr>
            <w:r w:rsidRPr="00C4542A">
              <w:rPr>
                <w:b/>
                <w:bCs/>
                <w:sz w:val="20"/>
                <w:szCs w:val="20"/>
              </w:rPr>
              <w:t> </w:t>
            </w:r>
          </w:p>
        </w:tc>
        <w:tc>
          <w:tcPr>
            <w:tcW w:w="1559" w:type="dxa"/>
            <w:tcBorders>
              <w:top w:val="single" w:sz="4" w:space="0" w:color="auto"/>
              <w:left w:val="single" w:sz="4" w:space="0" w:color="auto"/>
              <w:bottom w:val="single" w:sz="8" w:space="0" w:color="000000"/>
              <w:right w:val="single" w:sz="4" w:space="0" w:color="auto"/>
            </w:tcBorders>
            <w:shd w:val="clear" w:color="auto" w:fill="EEECE1"/>
            <w:vAlign w:val="center"/>
            <w:hideMark/>
          </w:tcPr>
          <w:p w:rsidR="00BE23F1" w:rsidRPr="00C4542A" w:rsidRDefault="00BE23F1" w:rsidP="00BE23F1">
            <w:pPr>
              <w:jc w:val="center"/>
              <w:rPr>
                <w:b/>
                <w:bCs/>
                <w:sz w:val="20"/>
                <w:szCs w:val="20"/>
              </w:rPr>
            </w:pPr>
            <w:r w:rsidRPr="00C4542A">
              <w:rPr>
                <w:b/>
                <w:bCs/>
                <w:sz w:val="20"/>
                <w:szCs w:val="20"/>
              </w:rPr>
              <w:t xml:space="preserve">Stálá aktiva </w:t>
            </w:r>
          </w:p>
        </w:tc>
        <w:tc>
          <w:tcPr>
            <w:tcW w:w="1559" w:type="dxa"/>
            <w:tcBorders>
              <w:top w:val="single" w:sz="4" w:space="0" w:color="auto"/>
              <w:left w:val="single" w:sz="4" w:space="0" w:color="auto"/>
              <w:bottom w:val="single" w:sz="8" w:space="0" w:color="000000"/>
              <w:right w:val="single" w:sz="4" w:space="0" w:color="auto"/>
            </w:tcBorders>
            <w:shd w:val="clear" w:color="auto" w:fill="EEECE1"/>
            <w:vAlign w:val="center"/>
            <w:hideMark/>
          </w:tcPr>
          <w:p w:rsidR="00BE23F1" w:rsidRPr="00C4542A" w:rsidRDefault="00BE23F1" w:rsidP="00BE23F1">
            <w:pPr>
              <w:jc w:val="center"/>
              <w:rPr>
                <w:b/>
                <w:bCs/>
                <w:sz w:val="20"/>
                <w:szCs w:val="20"/>
              </w:rPr>
            </w:pPr>
            <w:r w:rsidRPr="00C4542A">
              <w:rPr>
                <w:b/>
                <w:bCs/>
                <w:sz w:val="20"/>
                <w:szCs w:val="20"/>
              </w:rPr>
              <w:t xml:space="preserve">Oběžná aktiva </w:t>
            </w:r>
          </w:p>
        </w:tc>
        <w:tc>
          <w:tcPr>
            <w:tcW w:w="1418" w:type="dxa"/>
            <w:tcBorders>
              <w:top w:val="single" w:sz="4" w:space="0" w:color="auto"/>
              <w:left w:val="single" w:sz="4" w:space="0" w:color="auto"/>
              <w:bottom w:val="single" w:sz="8" w:space="0" w:color="000000"/>
              <w:right w:val="single" w:sz="4" w:space="0" w:color="auto"/>
            </w:tcBorders>
            <w:shd w:val="clear" w:color="auto" w:fill="EEECE1"/>
            <w:vAlign w:val="center"/>
            <w:hideMark/>
          </w:tcPr>
          <w:p w:rsidR="00BE23F1" w:rsidRPr="00C4542A" w:rsidRDefault="00BE23F1" w:rsidP="00BE23F1">
            <w:pPr>
              <w:jc w:val="center"/>
              <w:rPr>
                <w:b/>
                <w:bCs/>
                <w:sz w:val="20"/>
                <w:szCs w:val="20"/>
              </w:rPr>
            </w:pPr>
            <w:r w:rsidRPr="00C4542A">
              <w:rPr>
                <w:b/>
                <w:bCs/>
                <w:sz w:val="20"/>
                <w:szCs w:val="20"/>
              </w:rPr>
              <w:t>Vlastní kapitál</w:t>
            </w:r>
          </w:p>
        </w:tc>
        <w:tc>
          <w:tcPr>
            <w:tcW w:w="1559" w:type="dxa"/>
            <w:tcBorders>
              <w:top w:val="single" w:sz="4" w:space="0" w:color="auto"/>
              <w:left w:val="single" w:sz="4" w:space="0" w:color="auto"/>
              <w:bottom w:val="single" w:sz="4" w:space="0" w:color="auto"/>
              <w:right w:val="single" w:sz="4" w:space="0" w:color="auto"/>
            </w:tcBorders>
            <w:shd w:val="clear" w:color="auto" w:fill="EEECE1"/>
            <w:vAlign w:val="center"/>
          </w:tcPr>
          <w:p w:rsidR="00BE23F1" w:rsidRPr="00C4542A" w:rsidRDefault="00BE23F1" w:rsidP="00C71CEA">
            <w:pPr>
              <w:jc w:val="center"/>
              <w:rPr>
                <w:b/>
                <w:bCs/>
                <w:sz w:val="20"/>
                <w:szCs w:val="20"/>
              </w:rPr>
            </w:pPr>
            <w:r w:rsidRPr="00C4542A">
              <w:rPr>
                <w:b/>
                <w:bCs/>
                <w:sz w:val="20"/>
                <w:szCs w:val="20"/>
              </w:rPr>
              <w:t>V</w:t>
            </w:r>
            <w:r w:rsidR="00C71CEA">
              <w:rPr>
                <w:b/>
                <w:bCs/>
                <w:sz w:val="20"/>
                <w:szCs w:val="20"/>
              </w:rPr>
              <w:t>ýsledek ho</w:t>
            </w:r>
            <w:r w:rsidR="00C71CEA">
              <w:rPr>
                <w:b/>
                <w:bCs/>
                <w:sz w:val="20"/>
                <w:szCs w:val="20"/>
              </w:rPr>
              <w:t>s</w:t>
            </w:r>
            <w:r w:rsidR="00C71CEA">
              <w:rPr>
                <w:b/>
                <w:bCs/>
                <w:sz w:val="20"/>
                <w:szCs w:val="20"/>
              </w:rPr>
              <w:t>podaření</w:t>
            </w:r>
            <w:r w:rsidRPr="00C4542A">
              <w:rPr>
                <w:b/>
                <w:bCs/>
                <w:sz w:val="20"/>
                <w:szCs w:val="20"/>
              </w:rPr>
              <w:t xml:space="preserve"> běžný rok</w:t>
            </w:r>
          </w:p>
        </w:tc>
        <w:tc>
          <w:tcPr>
            <w:tcW w:w="1417" w:type="dxa"/>
            <w:tcBorders>
              <w:top w:val="single" w:sz="4" w:space="0" w:color="auto"/>
              <w:left w:val="single" w:sz="4" w:space="0" w:color="auto"/>
              <w:bottom w:val="single" w:sz="8" w:space="0" w:color="000000"/>
              <w:right w:val="single" w:sz="4" w:space="0" w:color="auto"/>
            </w:tcBorders>
            <w:shd w:val="clear" w:color="auto" w:fill="EEECE1"/>
            <w:vAlign w:val="center"/>
            <w:hideMark/>
          </w:tcPr>
          <w:p w:rsidR="00BE23F1" w:rsidRPr="00C4542A" w:rsidRDefault="00BE23F1" w:rsidP="00BE23F1">
            <w:pPr>
              <w:jc w:val="center"/>
              <w:rPr>
                <w:b/>
                <w:bCs/>
                <w:sz w:val="20"/>
                <w:szCs w:val="20"/>
              </w:rPr>
            </w:pPr>
            <w:r w:rsidRPr="00C4542A">
              <w:rPr>
                <w:b/>
                <w:bCs/>
                <w:sz w:val="20"/>
                <w:szCs w:val="20"/>
              </w:rPr>
              <w:t xml:space="preserve">Cizí zdroje </w:t>
            </w:r>
          </w:p>
        </w:tc>
      </w:tr>
      <w:tr w:rsidR="00BE23F1" w:rsidRPr="00C4542A" w:rsidTr="00C71CEA">
        <w:trPr>
          <w:trHeight w:val="46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E23F1" w:rsidRPr="00C4542A" w:rsidRDefault="00BE23F1" w:rsidP="00BE23F1">
            <w:pPr>
              <w:rPr>
                <w:sz w:val="20"/>
                <w:szCs w:val="20"/>
              </w:rPr>
            </w:pPr>
            <w:r w:rsidRPr="00C4542A">
              <w:rPr>
                <w:sz w:val="20"/>
                <w:szCs w:val="20"/>
              </w:rPr>
              <w:lastRenderedPageBreak/>
              <w:t xml:space="preserve">Základní školy </w:t>
            </w:r>
          </w:p>
        </w:tc>
        <w:tc>
          <w:tcPr>
            <w:tcW w:w="1559" w:type="dxa"/>
            <w:tcBorders>
              <w:top w:val="nil"/>
              <w:left w:val="nil"/>
              <w:bottom w:val="single" w:sz="4" w:space="0" w:color="auto"/>
              <w:right w:val="single" w:sz="4" w:space="0" w:color="auto"/>
            </w:tcBorders>
            <w:shd w:val="clear" w:color="000000" w:fill="FFFFFF"/>
            <w:vAlign w:val="center"/>
            <w:hideMark/>
          </w:tcPr>
          <w:p w:rsidR="00BE23F1" w:rsidRPr="00C4542A" w:rsidRDefault="00BE23F1" w:rsidP="00C71CEA">
            <w:pPr>
              <w:jc w:val="right"/>
              <w:rPr>
                <w:sz w:val="20"/>
                <w:szCs w:val="20"/>
              </w:rPr>
            </w:pPr>
            <w:r w:rsidRPr="00C4542A">
              <w:rPr>
                <w:sz w:val="20"/>
                <w:szCs w:val="20"/>
              </w:rPr>
              <w:t>188</w:t>
            </w:r>
            <w:r w:rsidR="00C71CEA">
              <w:rPr>
                <w:sz w:val="20"/>
                <w:szCs w:val="20"/>
              </w:rPr>
              <w:t>.</w:t>
            </w:r>
            <w:r w:rsidRPr="00C4542A">
              <w:rPr>
                <w:sz w:val="20"/>
                <w:szCs w:val="20"/>
              </w:rPr>
              <w:t>003</w:t>
            </w:r>
            <w:r w:rsidR="00C71CEA">
              <w:rPr>
                <w:sz w:val="20"/>
                <w:szCs w:val="20"/>
              </w:rPr>
              <w:t>.</w:t>
            </w:r>
            <w:r w:rsidRPr="00C4542A">
              <w:rPr>
                <w:sz w:val="20"/>
                <w:szCs w:val="20"/>
              </w:rPr>
              <w:t>094,78</w:t>
            </w:r>
          </w:p>
        </w:tc>
        <w:tc>
          <w:tcPr>
            <w:tcW w:w="1559" w:type="dxa"/>
            <w:tcBorders>
              <w:top w:val="nil"/>
              <w:left w:val="nil"/>
              <w:bottom w:val="single" w:sz="4" w:space="0" w:color="auto"/>
              <w:right w:val="single" w:sz="4" w:space="0" w:color="auto"/>
            </w:tcBorders>
            <w:shd w:val="clear" w:color="000000" w:fill="FFFFFF"/>
            <w:vAlign w:val="center"/>
            <w:hideMark/>
          </w:tcPr>
          <w:p w:rsidR="00BE23F1" w:rsidRPr="00C4542A" w:rsidRDefault="00BE23F1" w:rsidP="00C71CEA">
            <w:pPr>
              <w:jc w:val="right"/>
              <w:rPr>
                <w:sz w:val="20"/>
                <w:szCs w:val="20"/>
              </w:rPr>
            </w:pPr>
            <w:r w:rsidRPr="00C4542A">
              <w:rPr>
                <w:sz w:val="20"/>
                <w:szCs w:val="20"/>
              </w:rPr>
              <w:t>253</w:t>
            </w:r>
            <w:r w:rsidR="00C71CEA">
              <w:rPr>
                <w:sz w:val="20"/>
                <w:szCs w:val="20"/>
              </w:rPr>
              <w:t>.</w:t>
            </w:r>
            <w:r w:rsidRPr="00C4542A">
              <w:rPr>
                <w:sz w:val="20"/>
                <w:szCs w:val="20"/>
              </w:rPr>
              <w:t>911</w:t>
            </w:r>
            <w:r w:rsidR="00C71CEA">
              <w:rPr>
                <w:sz w:val="20"/>
                <w:szCs w:val="20"/>
              </w:rPr>
              <w:t>.</w:t>
            </w:r>
            <w:r w:rsidRPr="00C4542A">
              <w:rPr>
                <w:sz w:val="20"/>
                <w:szCs w:val="20"/>
              </w:rPr>
              <w:t>494,89</w:t>
            </w:r>
          </w:p>
        </w:tc>
        <w:tc>
          <w:tcPr>
            <w:tcW w:w="1418" w:type="dxa"/>
            <w:tcBorders>
              <w:top w:val="nil"/>
              <w:left w:val="nil"/>
              <w:bottom w:val="single" w:sz="4" w:space="0" w:color="auto"/>
              <w:right w:val="single" w:sz="4" w:space="0" w:color="auto"/>
            </w:tcBorders>
            <w:shd w:val="clear" w:color="000000" w:fill="FFFFFF"/>
            <w:vAlign w:val="center"/>
            <w:hideMark/>
          </w:tcPr>
          <w:p w:rsidR="00BE23F1" w:rsidRPr="00C4542A" w:rsidRDefault="00BE23F1" w:rsidP="00C71CEA">
            <w:pPr>
              <w:jc w:val="right"/>
              <w:rPr>
                <w:sz w:val="20"/>
                <w:szCs w:val="20"/>
              </w:rPr>
            </w:pPr>
            <w:r w:rsidRPr="00C4542A">
              <w:rPr>
                <w:sz w:val="20"/>
                <w:szCs w:val="20"/>
              </w:rPr>
              <w:t>32</w:t>
            </w:r>
            <w:r w:rsidR="00C71CEA">
              <w:rPr>
                <w:sz w:val="20"/>
                <w:szCs w:val="20"/>
              </w:rPr>
              <w:t>.</w:t>
            </w:r>
            <w:r w:rsidRPr="00C4542A">
              <w:rPr>
                <w:sz w:val="20"/>
                <w:szCs w:val="20"/>
              </w:rPr>
              <w:t>495</w:t>
            </w:r>
            <w:r w:rsidR="00C71CEA">
              <w:rPr>
                <w:sz w:val="20"/>
                <w:szCs w:val="20"/>
              </w:rPr>
              <w:t>.</w:t>
            </w:r>
            <w:r w:rsidRPr="00C4542A">
              <w:rPr>
                <w:sz w:val="20"/>
                <w:szCs w:val="20"/>
              </w:rPr>
              <w:t>655,82</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E23F1" w:rsidRPr="00C4542A" w:rsidRDefault="00862A41" w:rsidP="00C71CEA">
            <w:pPr>
              <w:jc w:val="right"/>
              <w:rPr>
                <w:sz w:val="20"/>
                <w:szCs w:val="20"/>
              </w:rPr>
            </w:pPr>
            <w:r w:rsidRPr="00C4542A">
              <w:rPr>
                <w:sz w:val="20"/>
                <w:szCs w:val="20"/>
              </w:rPr>
              <w:t>3</w:t>
            </w:r>
            <w:r w:rsidR="00C71CEA">
              <w:rPr>
                <w:sz w:val="20"/>
                <w:szCs w:val="20"/>
              </w:rPr>
              <w:t>.</w:t>
            </w:r>
            <w:r w:rsidRPr="00C4542A">
              <w:rPr>
                <w:sz w:val="20"/>
                <w:szCs w:val="20"/>
              </w:rPr>
              <w:t>450</w:t>
            </w:r>
            <w:r w:rsidR="00C71CEA">
              <w:rPr>
                <w:sz w:val="20"/>
                <w:szCs w:val="20"/>
              </w:rPr>
              <w:t>.</w:t>
            </w:r>
            <w:r w:rsidRPr="00C4542A">
              <w:rPr>
                <w:sz w:val="20"/>
                <w:szCs w:val="20"/>
              </w:rPr>
              <w:t>687,32</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BE23F1" w:rsidRPr="00C4542A" w:rsidRDefault="00BE23F1" w:rsidP="00C71CEA">
            <w:pPr>
              <w:jc w:val="right"/>
              <w:rPr>
                <w:sz w:val="20"/>
                <w:szCs w:val="20"/>
              </w:rPr>
            </w:pPr>
            <w:r w:rsidRPr="00C4542A">
              <w:rPr>
                <w:sz w:val="20"/>
                <w:szCs w:val="20"/>
              </w:rPr>
              <w:t>233</w:t>
            </w:r>
            <w:r w:rsidR="00C71CEA">
              <w:rPr>
                <w:sz w:val="20"/>
                <w:szCs w:val="20"/>
              </w:rPr>
              <w:t>.</w:t>
            </w:r>
            <w:r w:rsidRPr="00C4542A">
              <w:rPr>
                <w:sz w:val="20"/>
                <w:szCs w:val="20"/>
              </w:rPr>
              <w:t>870</w:t>
            </w:r>
            <w:r w:rsidR="00C71CEA">
              <w:rPr>
                <w:sz w:val="20"/>
                <w:szCs w:val="20"/>
              </w:rPr>
              <w:t>.</w:t>
            </w:r>
            <w:r w:rsidRPr="00C4542A">
              <w:rPr>
                <w:sz w:val="20"/>
                <w:szCs w:val="20"/>
              </w:rPr>
              <w:t>363,78</w:t>
            </w:r>
          </w:p>
        </w:tc>
      </w:tr>
      <w:tr w:rsidR="00BE23F1" w:rsidRPr="00C4542A" w:rsidTr="00C71CEA">
        <w:trPr>
          <w:trHeight w:val="46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E23F1" w:rsidRPr="00C4542A" w:rsidRDefault="00BE23F1" w:rsidP="00BE23F1">
            <w:pPr>
              <w:rPr>
                <w:sz w:val="20"/>
                <w:szCs w:val="20"/>
              </w:rPr>
            </w:pPr>
            <w:r w:rsidRPr="00C4542A">
              <w:rPr>
                <w:sz w:val="20"/>
                <w:szCs w:val="20"/>
              </w:rPr>
              <w:t xml:space="preserve">Mateřské školy </w:t>
            </w:r>
          </w:p>
        </w:tc>
        <w:tc>
          <w:tcPr>
            <w:tcW w:w="1559" w:type="dxa"/>
            <w:tcBorders>
              <w:top w:val="nil"/>
              <w:left w:val="nil"/>
              <w:bottom w:val="single" w:sz="4" w:space="0" w:color="auto"/>
              <w:right w:val="single" w:sz="4" w:space="0" w:color="auto"/>
            </w:tcBorders>
            <w:shd w:val="clear" w:color="000000" w:fill="FFFFFF"/>
            <w:vAlign w:val="center"/>
            <w:hideMark/>
          </w:tcPr>
          <w:p w:rsidR="00BE23F1" w:rsidRPr="00C4542A" w:rsidRDefault="00BE23F1" w:rsidP="00C71CEA">
            <w:pPr>
              <w:jc w:val="right"/>
              <w:rPr>
                <w:sz w:val="20"/>
                <w:szCs w:val="20"/>
              </w:rPr>
            </w:pPr>
            <w:r w:rsidRPr="00C4542A">
              <w:rPr>
                <w:sz w:val="20"/>
                <w:szCs w:val="20"/>
              </w:rPr>
              <w:t>50</w:t>
            </w:r>
            <w:r w:rsidR="00C71CEA">
              <w:rPr>
                <w:sz w:val="20"/>
                <w:szCs w:val="20"/>
              </w:rPr>
              <w:t>.572.</w:t>
            </w:r>
            <w:r w:rsidRPr="00C4542A">
              <w:rPr>
                <w:sz w:val="20"/>
                <w:szCs w:val="20"/>
              </w:rPr>
              <w:t>489,02</w:t>
            </w:r>
          </w:p>
        </w:tc>
        <w:tc>
          <w:tcPr>
            <w:tcW w:w="1559" w:type="dxa"/>
            <w:tcBorders>
              <w:top w:val="nil"/>
              <w:left w:val="nil"/>
              <w:bottom w:val="single" w:sz="4" w:space="0" w:color="auto"/>
              <w:right w:val="single" w:sz="4" w:space="0" w:color="auto"/>
            </w:tcBorders>
            <w:shd w:val="clear" w:color="000000" w:fill="FFFFFF"/>
            <w:vAlign w:val="center"/>
            <w:hideMark/>
          </w:tcPr>
          <w:p w:rsidR="00BE23F1" w:rsidRPr="00C4542A" w:rsidRDefault="00BE23F1" w:rsidP="00C71CEA">
            <w:pPr>
              <w:jc w:val="right"/>
              <w:rPr>
                <w:sz w:val="20"/>
                <w:szCs w:val="20"/>
              </w:rPr>
            </w:pPr>
            <w:r w:rsidRPr="00C4542A">
              <w:rPr>
                <w:sz w:val="20"/>
                <w:szCs w:val="20"/>
              </w:rPr>
              <w:t>84</w:t>
            </w:r>
            <w:r w:rsidR="00C71CEA">
              <w:rPr>
                <w:sz w:val="20"/>
                <w:szCs w:val="20"/>
              </w:rPr>
              <w:t>.</w:t>
            </w:r>
            <w:r w:rsidRPr="00C4542A">
              <w:rPr>
                <w:sz w:val="20"/>
                <w:szCs w:val="20"/>
              </w:rPr>
              <w:t>681</w:t>
            </w:r>
            <w:r w:rsidR="00C71CEA">
              <w:rPr>
                <w:sz w:val="20"/>
                <w:szCs w:val="20"/>
              </w:rPr>
              <w:t>.</w:t>
            </w:r>
            <w:r w:rsidRPr="00C4542A">
              <w:rPr>
                <w:sz w:val="20"/>
                <w:szCs w:val="20"/>
              </w:rPr>
              <w:t>617,86</w:t>
            </w:r>
          </w:p>
        </w:tc>
        <w:tc>
          <w:tcPr>
            <w:tcW w:w="1418" w:type="dxa"/>
            <w:tcBorders>
              <w:top w:val="nil"/>
              <w:left w:val="nil"/>
              <w:bottom w:val="single" w:sz="4" w:space="0" w:color="auto"/>
              <w:right w:val="single" w:sz="4" w:space="0" w:color="auto"/>
            </w:tcBorders>
            <w:shd w:val="clear" w:color="000000" w:fill="FFFFFF"/>
            <w:vAlign w:val="center"/>
            <w:hideMark/>
          </w:tcPr>
          <w:p w:rsidR="00BE23F1" w:rsidRPr="00C4542A" w:rsidRDefault="00BE23F1" w:rsidP="00C71CEA">
            <w:pPr>
              <w:jc w:val="right"/>
              <w:rPr>
                <w:sz w:val="20"/>
                <w:szCs w:val="20"/>
              </w:rPr>
            </w:pPr>
            <w:r w:rsidRPr="00C4542A">
              <w:rPr>
                <w:sz w:val="20"/>
                <w:szCs w:val="20"/>
              </w:rPr>
              <w:t>16</w:t>
            </w:r>
            <w:r w:rsidR="00C71CEA">
              <w:rPr>
                <w:sz w:val="20"/>
                <w:szCs w:val="20"/>
              </w:rPr>
              <w:t>.</w:t>
            </w:r>
            <w:r w:rsidRPr="00C4542A">
              <w:rPr>
                <w:sz w:val="20"/>
                <w:szCs w:val="20"/>
              </w:rPr>
              <w:t>879</w:t>
            </w:r>
            <w:r w:rsidR="00C71CEA">
              <w:rPr>
                <w:sz w:val="20"/>
                <w:szCs w:val="20"/>
              </w:rPr>
              <w:t>.</w:t>
            </w:r>
            <w:r w:rsidRPr="00C4542A">
              <w:rPr>
                <w:sz w:val="20"/>
                <w:szCs w:val="20"/>
              </w:rPr>
              <w:t>327,73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E23F1" w:rsidRPr="00C4542A" w:rsidRDefault="00862A41" w:rsidP="00C71CEA">
            <w:pPr>
              <w:jc w:val="right"/>
              <w:rPr>
                <w:sz w:val="20"/>
                <w:szCs w:val="20"/>
              </w:rPr>
            </w:pPr>
            <w:r w:rsidRPr="00C4542A">
              <w:rPr>
                <w:sz w:val="20"/>
                <w:szCs w:val="20"/>
              </w:rPr>
              <w:t>1</w:t>
            </w:r>
            <w:r w:rsidR="00C71CEA">
              <w:rPr>
                <w:sz w:val="20"/>
                <w:szCs w:val="20"/>
              </w:rPr>
              <w:t>.</w:t>
            </w:r>
            <w:r w:rsidRPr="00C4542A">
              <w:rPr>
                <w:sz w:val="20"/>
                <w:szCs w:val="20"/>
              </w:rPr>
              <w:t>478</w:t>
            </w:r>
            <w:r w:rsidR="00C71CEA">
              <w:rPr>
                <w:sz w:val="20"/>
                <w:szCs w:val="20"/>
              </w:rPr>
              <w:t>.</w:t>
            </w:r>
            <w:r w:rsidRPr="00C4542A">
              <w:rPr>
                <w:sz w:val="20"/>
                <w:szCs w:val="20"/>
              </w:rPr>
              <w:t>673,27</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BE23F1" w:rsidRPr="00C4542A" w:rsidRDefault="00BE23F1" w:rsidP="00C71CEA">
            <w:pPr>
              <w:jc w:val="right"/>
              <w:rPr>
                <w:sz w:val="20"/>
                <w:szCs w:val="20"/>
              </w:rPr>
            </w:pPr>
            <w:r w:rsidRPr="00C4542A">
              <w:rPr>
                <w:sz w:val="20"/>
                <w:szCs w:val="20"/>
              </w:rPr>
              <w:t>72</w:t>
            </w:r>
            <w:r w:rsidR="00C71CEA">
              <w:rPr>
                <w:sz w:val="20"/>
                <w:szCs w:val="20"/>
              </w:rPr>
              <w:t>.</w:t>
            </w:r>
            <w:r w:rsidRPr="00C4542A">
              <w:rPr>
                <w:sz w:val="20"/>
                <w:szCs w:val="20"/>
              </w:rPr>
              <w:t>849</w:t>
            </w:r>
            <w:r w:rsidR="00C71CEA">
              <w:rPr>
                <w:sz w:val="20"/>
                <w:szCs w:val="20"/>
              </w:rPr>
              <w:t>.</w:t>
            </w:r>
            <w:r w:rsidRPr="00C4542A">
              <w:rPr>
                <w:sz w:val="20"/>
                <w:szCs w:val="20"/>
              </w:rPr>
              <w:t>768,00</w:t>
            </w:r>
          </w:p>
        </w:tc>
      </w:tr>
      <w:tr w:rsidR="00BE23F1" w:rsidRPr="00C4542A" w:rsidTr="00C71CEA">
        <w:trPr>
          <w:trHeight w:val="46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E23F1" w:rsidRPr="00C4542A" w:rsidRDefault="00BE23F1" w:rsidP="00BE23F1">
            <w:pPr>
              <w:rPr>
                <w:sz w:val="20"/>
                <w:szCs w:val="20"/>
              </w:rPr>
            </w:pPr>
            <w:r w:rsidRPr="00C4542A">
              <w:rPr>
                <w:sz w:val="20"/>
                <w:szCs w:val="20"/>
              </w:rPr>
              <w:t xml:space="preserve">CSOP </w:t>
            </w:r>
          </w:p>
        </w:tc>
        <w:tc>
          <w:tcPr>
            <w:tcW w:w="1559" w:type="dxa"/>
            <w:tcBorders>
              <w:top w:val="nil"/>
              <w:left w:val="nil"/>
              <w:bottom w:val="single" w:sz="4" w:space="0" w:color="auto"/>
              <w:right w:val="single" w:sz="4" w:space="0" w:color="auto"/>
            </w:tcBorders>
            <w:shd w:val="clear" w:color="000000" w:fill="FFFFFF"/>
            <w:vAlign w:val="center"/>
            <w:hideMark/>
          </w:tcPr>
          <w:p w:rsidR="00BE23F1" w:rsidRPr="00C4542A" w:rsidRDefault="00BE23F1" w:rsidP="00C71CEA">
            <w:pPr>
              <w:jc w:val="right"/>
              <w:rPr>
                <w:sz w:val="20"/>
                <w:szCs w:val="20"/>
              </w:rPr>
            </w:pPr>
            <w:r w:rsidRPr="00C4542A">
              <w:rPr>
                <w:sz w:val="20"/>
                <w:szCs w:val="20"/>
              </w:rPr>
              <w:t>10</w:t>
            </w:r>
            <w:r w:rsidR="00C71CEA">
              <w:rPr>
                <w:sz w:val="20"/>
                <w:szCs w:val="20"/>
              </w:rPr>
              <w:t>.014.</w:t>
            </w:r>
            <w:r w:rsidRPr="00C4542A">
              <w:rPr>
                <w:sz w:val="20"/>
                <w:szCs w:val="20"/>
              </w:rPr>
              <w:t>657,16</w:t>
            </w:r>
          </w:p>
        </w:tc>
        <w:tc>
          <w:tcPr>
            <w:tcW w:w="1559" w:type="dxa"/>
            <w:tcBorders>
              <w:top w:val="nil"/>
              <w:left w:val="nil"/>
              <w:bottom w:val="single" w:sz="4" w:space="0" w:color="auto"/>
              <w:right w:val="single" w:sz="4" w:space="0" w:color="auto"/>
            </w:tcBorders>
            <w:shd w:val="clear" w:color="000000" w:fill="FFFFFF"/>
            <w:vAlign w:val="center"/>
            <w:hideMark/>
          </w:tcPr>
          <w:p w:rsidR="00BE23F1" w:rsidRPr="00C4542A" w:rsidRDefault="00BE23F1" w:rsidP="00C71CEA">
            <w:pPr>
              <w:jc w:val="right"/>
              <w:rPr>
                <w:sz w:val="20"/>
                <w:szCs w:val="20"/>
              </w:rPr>
            </w:pPr>
            <w:r w:rsidRPr="00C4542A">
              <w:rPr>
                <w:sz w:val="20"/>
                <w:szCs w:val="20"/>
              </w:rPr>
              <w:t>6</w:t>
            </w:r>
            <w:r w:rsidR="00C71CEA">
              <w:rPr>
                <w:sz w:val="20"/>
                <w:szCs w:val="20"/>
              </w:rPr>
              <w:t>.</w:t>
            </w:r>
            <w:r w:rsidRPr="00C4542A">
              <w:rPr>
                <w:sz w:val="20"/>
                <w:szCs w:val="20"/>
              </w:rPr>
              <w:t>606</w:t>
            </w:r>
            <w:r w:rsidR="00C71CEA">
              <w:rPr>
                <w:sz w:val="20"/>
                <w:szCs w:val="20"/>
              </w:rPr>
              <w:t>.</w:t>
            </w:r>
            <w:r w:rsidRPr="00C4542A">
              <w:rPr>
                <w:sz w:val="20"/>
                <w:szCs w:val="20"/>
              </w:rPr>
              <w:t>752,73</w:t>
            </w:r>
          </w:p>
        </w:tc>
        <w:tc>
          <w:tcPr>
            <w:tcW w:w="1418" w:type="dxa"/>
            <w:tcBorders>
              <w:top w:val="nil"/>
              <w:left w:val="nil"/>
              <w:bottom w:val="single" w:sz="4" w:space="0" w:color="auto"/>
              <w:right w:val="single" w:sz="4" w:space="0" w:color="auto"/>
            </w:tcBorders>
            <w:shd w:val="clear" w:color="000000" w:fill="FFFFFF"/>
            <w:vAlign w:val="center"/>
            <w:hideMark/>
          </w:tcPr>
          <w:p w:rsidR="00BE23F1" w:rsidRPr="00C4542A" w:rsidRDefault="00BE23F1" w:rsidP="00C71CEA">
            <w:pPr>
              <w:jc w:val="right"/>
              <w:rPr>
                <w:sz w:val="20"/>
                <w:szCs w:val="20"/>
              </w:rPr>
            </w:pPr>
            <w:r w:rsidRPr="00C4542A">
              <w:rPr>
                <w:sz w:val="20"/>
                <w:szCs w:val="20"/>
              </w:rPr>
              <w:t>3</w:t>
            </w:r>
            <w:r w:rsidR="00C71CEA">
              <w:rPr>
                <w:sz w:val="20"/>
                <w:szCs w:val="20"/>
              </w:rPr>
              <w:t>.</w:t>
            </w:r>
            <w:r w:rsidRPr="00C4542A">
              <w:rPr>
                <w:sz w:val="20"/>
                <w:szCs w:val="20"/>
              </w:rPr>
              <w:t>682</w:t>
            </w:r>
            <w:r w:rsidR="00C71CEA">
              <w:rPr>
                <w:sz w:val="20"/>
                <w:szCs w:val="20"/>
              </w:rPr>
              <w:t>.</w:t>
            </w:r>
            <w:r w:rsidRPr="00C4542A">
              <w:rPr>
                <w:sz w:val="20"/>
                <w:szCs w:val="20"/>
              </w:rPr>
              <w:t>577,73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E23F1" w:rsidRPr="00C4542A" w:rsidRDefault="00862A41" w:rsidP="00C71CEA">
            <w:pPr>
              <w:jc w:val="right"/>
              <w:rPr>
                <w:sz w:val="20"/>
                <w:szCs w:val="20"/>
              </w:rPr>
            </w:pPr>
            <w:r w:rsidRPr="00C4542A">
              <w:rPr>
                <w:sz w:val="20"/>
                <w:szCs w:val="20"/>
              </w:rPr>
              <w:t>310</w:t>
            </w:r>
            <w:r w:rsidR="00C71CEA">
              <w:rPr>
                <w:sz w:val="20"/>
                <w:szCs w:val="20"/>
              </w:rPr>
              <w:t>.</w:t>
            </w:r>
            <w:r w:rsidRPr="00C4542A">
              <w:rPr>
                <w:sz w:val="20"/>
                <w:szCs w:val="20"/>
              </w:rPr>
              <w:t>132,88</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BE23F1" w:rsidRPr="00C4542A" w:rsidRDefault="00BE23F1" w:rsidP="00C71CEA">
            <w:pPr>
              <w:jc w:val="right"/>
              <w:rPr>
                <w:sz w:val="20"/>
                <w:szCs w:val="20"/>
              </w:rPr>
            </w:pPr>
            <w:r w:rsidRPr="00C4542A">
              <w:rPr>
                <w:sz w:val="20"/>
                <w:szCs w:val="20"/>
              </w:rPr>
              <w:t>4</w:t>
            </w:r>
            <w:r w:rsidR="00C71CEA">
              <w:rPr>
                <w:sz w:val="20"/>
                <w:szCs w:val="20"/>
              </w:rPr>
              <w:t>.</w:t>
            </w:r>
            <w:r w:rsidRPr="00C4542A">
              <w:rPr>
                <w:sz w:val="20"/>
                <w:szCs w:val="20"/>
              </w:rPr>
              <w:t>119</w:t>
            </w:r>
            <w:r w:rsidR="00C71CEA">
              <w:rPr>
                <w:sz w:val="20"/>
                <w:szCs w:val="20"/>
              </w:rPr>
              <w:t>.</w:t>
            </w:r>
            <w:r w:rsidRPr="00C4542A">
              <w:rPr>
                <w:sz w:val="20"/>
                <w:szCs w:val="20"/>
              </w:rPr>
              <w:t>979,80</w:t>
            </w:r>
          </w:p>
        </w:tc>
      </w:tr>
      <w:tr w:rsidR="00BE23F1" w:rsidRPr="00C4542A" w:rsidTr="00C71CEA">
        <w:trPr>
          <w:trHeight w:val="465"/>
        </w:trPr>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E23F1" w:rsidRPr="00C4542A" w:rsidRDefault="00BE23F1" w:rsidP="00BE23F1">
            <w:pPr>
              <w:rPr>
                <w:sz w:val="20"/>
                <w:szCs w:val="20"/>
              </w:rPr>
            </w:pPr>
            <w:r w:rsidRPr="00C4542A">
              <w:rPr>
                <w:sz w:val="20"/>
                <w:szCs w:val="20"/>
              </w:rPr>
              <w:t xml:space="preserve">KK Poštovka </w:t>
            </w:r>
          </w:p>
        </w:tc>
        <w:tc>
          <w:tcPr>
            <w:tcW w:w="1559" w:type="dxa"/>
            <w:tcBorders>
              <w:top w:val="nil"/>
              <w:left w:val="nil"/>
              <w:bottom w:val="single" w:sz="4" w:space="0" w:color="auto"/>
              <w:right w:val="single" w:sz="4" w:space="0" w:color="auto"/>
            </w:tcBorders>
            <w:shd w:val="clear" w:color="000000" w:fill="FFFFFF"/>
            <w:vAlign w:val="center"/>
            <w:hideMark/>
          </w:tcPr>
          <w:p w:rsidR="00BE23F1" w:rsidRPr="00C4542A" w:rsidRDefault="00BE23F1" w:rsidP="00C71CEA">
            <w:pPr>
              <w:jc w:val="right"/>
              <w:rPr>
                <w:sz w:val="20"/>
                <w:szCs w:val="20"/>
              </w:rPr>
            </w:pPr>
            <w:r w:rsidRPr="00C4542A">
              <w:rPr>
                <w:sz w:val="20"/>
                <w:szCs w:val="20"/>
              </w:rPr>
              <w:t>309</w:t>
            </w:r>
            <w:r w:rsidR="00C71CEA">
              <w:rPr>
                <w:sz w:val="20"/>
                <w:szCs w:val="20"/>
              </w:rPr>
              <w:t>.</w:t>
            </w:r>
            <w:r w:rsidRPr="00C4542A">
              <w:rPr>
                <w:sz w:val="20"/>
                <w:szCs w:val="20"/>
              </w:rPr>
              <w:t>746,89</w:t>
            </w:r>
          </w:p>
        </w:tc>
        <w:tc>
          <w:tcPr>
            <w:tcW w:w="1559" w:type="dxa"/>
            <w:tcBorders>
              <w:top w:val="nil"/>
              <w:left w:val="nil"/>
              <w:bottom w:val="single" w:sz="4" w:space="0" w:color="auto"/>
              <w:right w:val="single" w:sz="4" w:space="0" w:color="auto"/>
            </w:tcBorders>
            <w:shd w:val="clear" w:color="000000" w:fill="FFFFFF"/>
            <w:vAlign w:val="center"/>
            <w:hideMark/>
          </w:tcPr>
          <w:p w:rsidR="00BE23F1" w:rsidRPr="00C4542A" w:rsidRDefault="00BE23F1" w:rsidP="00C71CEA">
            <w:pPr>
              <w:jc w:val="right"/>
              <w:rPr>
                <w:sz w:val="20"/>
                <w:szCs w:val="20"/>
              </w:rPr>
            </w:pPr>
            <w:r w:rsidRPr="00C4542A">
              <w:rPr>
                <w:sz w:val="20"/>
                <w:szCs w:val="20"/>
              </w:rPr>
              <w:t>801</w:t>
            </w:r>
            <w:r w:rsidR="00C71CEA">
              <w:rPr>
                <w:sz w:val="20"/>
                <w:szCs w:val="20"/>
              </w:rPr>
              <w:t>.</w:t>
            </w:r>
            <w:r w:rsidRPr="00C4542A">
              <w:rPr>
                <w:sz w:val="20"/>
                <w:szCs w:val="20"/>
              </w:rPr>
              <w:t>906,19</w:t>
            </w:r>
          </w:p>
        </w:tc>
        <w:tc>
          <w:tcPr>
            <w:tcW w:w="1418" w:type="dxa"/>
            <w:tcBorders>
              <w:top w:val="nil"/>
              <w:left w:val="nil"/>
              <w:bottom w:val="single" w:sz="4" w:space="0" w:color="auto"/>
              <w:right w:val="single" w:sz="4" w:space="0" w:color="auto"/>
            </w:tcBorders>
            <w:shd w:val="clear" w:color="000000" w:fill="FFFFFF"/>
            <w:vAlign w:val="center"/>
            <w:hideMark/>
          </w:tcPr>
          <w:p w:rsidR="00BE23F1" w:rsidRPr="00C4542A" w:rsidRDefault="00BE23F1" w:rsidP="00C71CEA">
            <w:pPr>
              <w:jc w:val="right"/>
              <w:rPr>
                <w:sz w:val="20"/>
                <w:szCs w:val="20"/>
              </w:rPr>
            </w:pPr>
            <w:r w:rsidRPr="00C4542A">
              <w:rPr>
                <w:sz w:val="20"/>
                <w:szCs w:val="20"/>
              </w:rPr>
              <w:t>369</w:t>
            </w:r>
            <w:r w:rsidR="00C71CEA">
              <w:rPr>
                <w:sz w:val="20"/>
                <w:szCs w:val="20"/>
              </w:rPr>
              <w:t>.</w:t>
            </w:r>
            <w:r w:rsidRPr="00C4542A">
              <w:rPr>
                <w:sz w:val="20"/>
                <w:szCs w:val="20"/>
              </w:rPr>
              <w:t>400,20</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E23F1" w:rsidRPr="00C4542A" w:rsidRDefault="00862A41" w:rsidP="00C71CEA">
            <w:pPr>
              <w:jc w:val="right"/>
              <w:rPr>
                <w:sz w:val="20"/>
                <w:szCs w:val="20"/>
              </w:rPr>
            </w:pPr>
            <w:r w:rsidRPr="00C4542A">
              <w:rPr>
                <w:sz w:val="20"/>
                <w:szCs w:val="20"/>
              </w:rPr>
              <w:t>134</w:t>
            </w:r>
            <w:r w:rsidR="00C71CEA">
              <w:rPr>
                <w:sz w:val="20"/>
                <w:szCs w:val="20"/>
              </w:rPr>
              <w:t>.</w:t>
            </w:r>
            <w:r w:rsidRPr="00C4542A">
              <w:rPr>
                <w:sz w:val="20"/>
                <w:szCs w:val="20"/>
              </w:rPr>
              <w:t>443,00</w:t>
            </w:r>
          </w:p>
        </w:tc>
        <w:tc>
          <w:tcPr>
            <w:tcW w:w="1417" w:type="dxa"/>
            <w:tcBorders>
              <w:top w:val="nil"/>
              <w:left w:val="single" w:sz="4" w:space="0" w:color="auto"/>
              <w:bottom w:val="single" w:sz="4" w:space="0" w:color="auto"/>
              <w:right w:val="single" w:sz="4" w:space="0" w:color="auto"/>
            </w:tcBorders>
            <w:shd w:val="clear" w:color="000000" w:fill="FFFFFF"/>
            <w:vAlign w:val="center"/>
            <w:hideMark/>
          </w:tcPr>
          <w:p w:rsidR="00BE23F1" w:rsidRPr="00C4542A" w:rsidRDefault="00BE23F1" w:rsidP="00C71CEA">
            <w:pPr>
              <w:jc w:val="right"/>
              <w:rPr>
                <w:sz w:val="20"/>
                <w:szCs w:val="20"/>
              </w:rPr>
            </w:pPr>
            <w:r w:rsidRPr="00C4542A">
              <w:rPr>
                <w:sz w:val="20"/>
                <w:szCs w:val="20"/>
              </w:rPr>
              <w:t>432</w:t>
            </w:r>
            <w:r w:rsidR="00C71CEA">
              <w:rPr>
                <w:sz w:val="20"/>
                <w:szCs w:val="20"/>
              </w:rPr>
              <w:t>.</w:t>
            </w:r>
            <w:r w:rsidRPr="00C4542A">
              <w:rPr>
                <w:sz w:val="20"/>
                <w:szCs w:val="20"/>
              </w:rPr>
              <w:t>505,99</w:t>
            </w:r>
          </w:p>
        </w:tc>
      </w:tr>
      <w:tr w:rsidR="00BE23F1" w:rsidRPr="00C4542A" w:rsidTr="00C71CEA">
        <w:trPr>
          <w:trHeight w:val="642"/>
        </w:trPr>
        <w:tc>
          <w:tcPr>
            <w:tcW w:w="1560" w:type="dxa"/>
            <w:tcBorders>
              <w:top w:val="nil"/>
              <w:left w:val="single" w:sz="4" w:space="0" w:color="auto"/>
              <w:bottom w:val="single" w:sz="4" w:space="0" w:color="auto"/>
              <w:right w:val="single" w:sz="4" w:space="0" w:color="auto"/>
            </w:tcBorders>
            <w:shd w:val="clear" w:color="auto" w:fill="EEECE1"/>
            <w:vAlign w:val="center"/>
            <w:hideMark/>
          </w:tcPr>
          <w:p w:rsidR="00BE23F1" w:rsidRPr="00C4542A" w:rsidRDefault="00BE23F1" w:rsidP="00BE23F1">
            <w:pPr>
              <w:rPr>
                <w:b/>
                <w:bCs/>
                <w:sz w:val="20"/>
                <w:szCs w:val="20"/>
              </w:rPr>
            </w:pPr>
            <w:r w:rsidRPr="00C4542A">
              <w:rPr>
                <w:b/>
                <w:bCs/>
                <w:sz w:val="20"/>
                <w:szCs w:val="20"/>
              </w:rPr>
              <w:t>Celkem</w:t>
            </w:r>
          </w:p>
        </w:tc>
        <w:tc>
          <w:tcPr>
            <w:tcW w:w="1559" w:type="dxa"/>
            <w:tcBorders>
              <w:top w:val="nil"/>
              <w:left w:val="nil"/>
              <w:bottom w:val="single" w:sz="4" w:space="0" w:color="auto"/>
              <w:right w:val="single" w:sz="4" w:space="0" w:color="auto"/>
            </w:tcBorders>
            <w:shd w:val="clear" w:color="auto" w:fill="EEECE1"/>
            <w:vAlign w:val="center"/>
            <w:hideMark/>
          </w:tcPr>
          <w:p w:rsidR="00BE23F1" w:rsidRPr="00C4542A" w:rsidRDefault="00BE23F1" w:rsidP="00C71CEA">
            <w:pPr>
              <w:jc w:val="right"/>
              <w:rPr>
                <w:b/>
                <w:bCs/>
                <w:sz w:val="20"/>
                <w:szCs w:val="20"/>
              </w:rPr>
            </w:pPr>
            <w:r w:rsidRPr="00C4542A">
              <w:rPr>
                <w:b/>
                <w:bCs/>
                <w:sz w:val="20"/>
                <w:szCs w:val="20"/>
              </w:rPr>
              <w:t>248</w:t>
            </w:r>
            <w:r w:rsidR="00C71CEA">
              <w:rPr>
                <w:b/>
                <w:bCs/>
                <w:sz w:val="20"/>
                <w:szCs w:val="20"/>
              </w:rPr>
              <w:t>.899.</w:t>
            </w:r>
            <w:r w:rsidRPr="00C4542A">
              <w:rPr>
                <w:b/>
                <w:bCs/>
                <w:sz w:val="20"/>
                <w:szCs w:val="20"/>
              </w:rPr>
              <w:t>987,85</w:t>
            </w:r>
          </w:p>
        </w:tc>
        <w:tc>
          <w:tcPr>
            <w:tcW w:w="1559" w:type="dxa"/>
            <w:tcBorders>
              <w:top w:val="nil"/>
              <w:left w:val="nil"/>
              <w:bottom w:val="single" w:sz="4" w:space="0" w:color="auto"/>
              <w:right w:val="single" w:sz="4" w:space="0" w:color="auto"/>
            </w:tcBorders>
            <w:shd w:val="clear" w:color="auto" w:fill="EEECE1"/>
            <w:vAlign w:val="center"/>
            <w:hideMark/>
          </w:tcPr>
          <w:p w:rsidR="00BE23F1" w:rsidRPr="00C4542A" w:rsidRDefault="00BE23F1" w:rsidP="00BE23F1">
            <w:pPr>
              <w:jc w:val="right"/>
              <w:rPr>
                <w:b/>
                <w:bCs/>
                <w:sz w:val="20"/>
                <w:szCs w:val="20"/>
              </w:rPr>
            </w:pPr>
            <w:r w:rsidRPr="00C4542A">
              <w:rPr>
                <w:b/>
                <w:bCs/>
                <w:sz w:val="20"/>
                <w:szCs w:val="20"/>
              </w:rPr>
              <w:t>3</w:t>
            </w:r>
            <w:r w:rsidR="00C71CEA">
              <w:rPr>
                <w:b/>
                <w:bCs/>
                <w:sz w:val="20"/>
                <w:szCs w:val="20"/>
              </w:rPr>
              <w:t>46.001.</w:t>
            </w:r>
            <w:r w:rsidRPr="00C4542A">
              <w:rPr>
                <w:b/>
                <w:bCs/>
                <w:sz w:val="20"/>
                <w:szCs w:val="20"/>
              </w:rPr>
              <w:t>771,67</w:t>
            </w:r>
          </w:p>
        </w:tc>
        <w:tc>
          <w:tcPr>
            <w:tcW w:w="1418" w:type="dxa"/>
            <w:tcBorders>
              <w:top w:val="nil"/>
              <w:left w:val="nil"/>
              <w:bottom w:val="single" w:sz="4" w:space="0" w:color="auto"/>
              <w:right w:val="single" w:sz="4" w:space="0" w:color="auto"/>
            </w:tcBorders>
            <w:shd w:val="clear" w:color="auto" w:fill="EEECE1"/>
            <w:vAlign w:val="center"/>
            <w:hideMark/>
          </w:tcPr>
          <w:p w:rsidR="00BE23F1" w:rsidRPr="00C4542A" w:rsidRDefault="00C71CEA" w:rsidP="00BE23F1">
            <w:pPr>
              <w:jc w:val="right"/>
              <w:rPr>
                <w:b/>
                <w:bCs/>
                <w:sz w:val="20"/>
                <w:szCs w:val="20"/>
              </w:rPr>
            </w:pPr>
            <w:r>
              <w:rPr>
                <w:b/>
                <w:bCs/>
                <w:sz w:val="20"/>
                <w:szCs w:val="20"/>
              </w:rPr>
              <w:t>53.426.</w:t>
            </w:r>
            <w:r w:rsidR="00BE23F1" w:rsidRPr="00C4542A">
              <w:rPr>
                <w:b/>
                <w:bCs/>
                <w:sz w:val="20"/>
                <w:szCs w:val="20"/>
              </w:rPr>
              <w:t>961,48</w:t>
            </w:r>
          </w:p>
        </w:tc>
        <w:tc>
          <w:tcPr>
            <w:tcW w:w="1559" w:type="dxa"/>
            <w:tcBorders>
              <w:top w:val="single" w:sz="4" w:space="0" w:color="auto"/>
              <w:left w:val="nil"/>
              <w:bottom w:val="single" w:sz="4" w:space="0" w:color="auto"/>
              <w:right w:val="single" w:sz="4" w:space="0" w:color="auto"/>
            </w:tcBorders>
            <w:shd w:val="clear" w:color="auto" w:fill="EEECE1"/>
            <w:vAlign w:val="center"/>
          </w:tcPr>
          <w:p w:rsidR="00BE23F1" w:rsidRPr="00C4542A" w:rsidRDefault="00C71CEA" w:rsidP="00862A41">
            <w:pPr>
              <w:jc w:val="right"/>
              <w:rPr>
                <w:b/>
                <w:bCs/>
                <w:sz w:val="20"/>
                <w:szCs w:val="20"/>
              </w:rPr>
            </w:pPr>
            <w:r>
              <w:rPr>
                <w:b/>
                <w:bCs/>
                <w:sz w:val="20"/>
                <w:szCs w:val="20"/>
              </w:rPr>
              <w:t>5.373.</w:t>
            </w:r>
            <w:r w:rsidR="00862A41" w:rsidRPr="00C4542A">
              <w:rPr>
                <w:b/>
                <w:bCs/>
                <w:sz w:val="20"/>
                <w:szCs w:val="20"/>
              </w:rPr>
              <w:t>936,47</w:t>
            </w:r>
          </w:p>
        </w:tc>
        <w:tc>
          <w:tcPr>
            <w:tcW w:w="1417" w:type="dxa"/>
            <w:tcBorders>
              <w:top w:val="nil"/>
              <w:left w:val="single" w:sz="4" w:space="0" w:color="auto"/>
              <w:bottom w:val="single" w:sz="4" w:space="0" w:color="auto"/>
              <w:right w:val="single" w:sz="4" w:space="0" w:color="auto"/>
            </w:tcBorders>
            <w:shd w:val="clear" w:color="auto" w:fill="EEECE1"/>
            <w:vAlign w:val="center"/>
            <w:hideMark/>
          </w:tcPr>
          <w:p w:rsidR="00BE23F1" w:rsidRPr="00C4542A" w:rsidRDefault="00C71CEA" w:rsidP="00BE23F1">
            <w:pPr>
              <w:jc w:val="right"/>
              <w:rPr>
                <w:b/>
                <w:bCs/>
                <w:sz w:val="20"/>
                <w:szCs w:val="20"/>
              </w:rPr>
            </w:pPr>
            <w:r>
              <w:rPr>
                <w:b/>
                <w:bCs/>
                <w:sz w:val="20"/>
                <w:szCs w:val="20"/>
              </w:rPr>
              <w:t>311.272.</w:t>
            </w:r>
            <w:r w:rsidR="00BE23F1" w:rsidRPr="00C4542A">
              <w:rPr>
                <w:b/>
                <w:bCs/>
                <w:sz w:val="20"/>
                <w:szCs w:val="20"/>
              </w:rPr>
              <w:t>617,57</w:t>
            </w:r>
          </w:p>
        </w:tc>
      </w:tr>
      <w:tr w:rsidR="00BE23F1" w:rsidRPr="00C4542A" w:rsidTr="00C71CEA">
        <w:trPr>
          <w:trHeight w:val="315"/>
        </w:trPr>
        <w:tc>
          <w:tcPr>
            <w:tcW w:w="1560" w:type="dxa"/>
            <w:tcBorders>
              <w:top w:val="nil"/>
              <w:left w:val="nil"/>
              <w:bottom w:val="nil"/>
              <w:right w:val="nil"/>
            </w:tcBorders>
            <w:shd w:val="clear" w:color="000000" w:fill="FFFFFF"/>
            <w:noWrap/>
            <w:vAlign w:val="center"/>
            <w:hideMark/>
          </w:tcPr>
          <w:p w:rsidR="00BE23F1" w:rsidRPr="00C4542A" w:rsidRDefault="00BE23F1" w:rsidP="00BE23F1">
            <w:pPr>
              <w:rPr>
                <w:sz w:val="20"/>
                <w:szCs w:val="20"/>
              </w:rPr>
            </w:pPr>
            <w:r w:rsidRPr="00C4542A">
              <w:rPr>
                <w:sz w:val="20"/>
                <w:szCs w:val="20"/>
              </w:rPr>
              <w:t> </w:t>
            </w:r>
          </w:p>
        </w:tc>
        <w:tc>
          <w:tcPr>
            <w:tcW w:w="1559" w:type="dxa"/>
            <w:tcBorders>
              <w:top w:val="nil"/>
              <w:left w:val="nil"/>
              <w:bottom w:val="nil"/>
              <w:right w:val="nil"/>
            </w:tcBorders>
            <w:shd w:val="clear" w:color="000000" w:fill="FFFFFF"/>
            <w:noWrap/>
            <w:vAlign w:val="center"/>
            <w:hideMark/>
          </w:tcPr>
          <w:p w:rsidR="00BE23F1" w:rsidRPr="00C4542A" w:rsidRDefault="00BE23F1" w:rsidP="00BE23F1">
            <w:pPr>
              <w:rPr>
                <w:sz w:val="20"/>
                <w:szCs w:val="20"/>
              </w:rPr>
            </w:pPr>
            <w:r w:rsidRPr="00C4542A">
              <w:rPr>
                <w:sz w:val="20"/>
                <w:szCs w:val="20"/>
              </w:rPr>
              <w:t> </w:t>
            </w:r>
          </w:p>
        </w:tc>
        <w:tc>
          <w:tcPr>
            <w:tcW w:w="1559" w:type="dxa"/>
            <w:tcBorders>
              <w:top w:val="nil"/>
              <w:left w:val="nil"/>
              <w:bottom w:val="nil"/>
              <w:right w:val="nil"/>
            </w:tcBorders>
            <w:shd w:val="clear" w:color="000000" w:fill="FFFFFF"/>
            <w:noWrap/>
            <w:vAlign w:val="center"/>
            <w:hideMark/>
          </w:tcPr>
          <w:p w:rsidR="00BE23F1" w:rsidRPr="00C4542A" w:rsidRDefault="00BE23F1" w:rsidP="00BE23F1">
            <w:pPr>
              <w:rPr>
                <w:sz w:val="20"/>
                <w:szCs w:val="20"/>
              </w:rPr>
            </w:pPr>
            <w:r w:rsidRPr="00C4542A">
              <w:rPr>
                <w:sz w:val="20"/>
                <w:szCs w:val="20"/>
              </w:rPr>
              <w:t> </w:t>
            </w:r>
          </w:p>
        </w:tc>
        <w:tc>
          <w:tcPr>
            <w:tcW w:w="1418" w:type="dxa"/>
            <w:tcBorders>
              <w:top w:val="nil"/>
              <w:left w:val="nil"/>
              <w:bottom w:val="nil"/>
              <w:right w:val="nil"/>
            </w:tcBorders>
            <w:shd w:val="clear" w:color="000000" w:fill="FFFFFF"/>
            <w:noWrap/>
            <w:vAlign w:val="center"/>
            <w:hideMark/>
          </w:tcPr>
          <w:p w:rsidR="00BE23F1" w:rsidRPr="00C4542A" w:rsidRDefault="00BE23F1" w:rsidP="00BE23F1">
            <w:pPr>
              <w:rPr>
                <w:sz w:val="20"/>
                <w:szCs w:val="20"/>
              </w:rPr>
            </w:pPr>
            <w:r w:rsidRPr="00C4542A">
              <w:rPr>
                <w:sz w:val="20"/>
                <w:szCs w:val="20"/>
              </w:rPr>
              <w:t> </w:t>
            </w:r>
          </w:p>
        </w:tc>
        <w:tc>
          <w:tcPr>
            <w:tcW w:w="1559" w:type="dxa"/>
            <w:tcBorders>
              <w:top w:val="nil"/>
              <w:left w:val="nil"/>
              <w:bottom w:val="nil"/>
              <w:right w:val="nil"/>
            </w:tcBorders>
            <w:shd w:val="clear" w:color="000000" w:fill="FFFFFF"/>
          </w:tcPr>
          <w:p w:rsidR="00BE23F1" w:rsidRPr="00C4542A" w:rsidRDefault="00BE23F1" w:rsidP="00BE23F1">
            <w:pPr>
              <w:rPr>
                <w:sz w:val="20"/>
                <w:szCs w:val="20"/>
              </w:rPr>
            </w:pPr>
          </w:p>
        </w:tc>
        <w:tc>
          <w:tcPr>
            <w:tcW w:w="1417" w:type="dxa"/>
            <w:tcBorders>
              <w:top w:val="nil"/>
              <w:left w:val="nil"/>
              <w:bottom w:val="nil"/>
              <w:right w:val="nil"/>
            </w:tcBorders>
            <w:shd w:val="clear" w:color="000000" w:fill="FFFFFF"/>
            <w:noWrap/>
            <w:vAlign w:val="center"/>
            <w:hideMark/>
          </w:tcPr>
          <w:p w:rsidR="00BE23F1" w:rsidRPr="00C4542A" w:rsidRDefault="00BE23F1" w:rsidP="00BE23F1">
            <w:pPr>
              <w:rPr>
                <w:sz w:val="20"/>
                <w:szCs w:val="20"/>
              </w:rPr>
            </w:pPr>
            <w:r w:rsidRPr="00C4542A">
              <w:rPr>
                <w:sz w:val="20"/>
                <w:szCs w:val="20"/>
              </w:rPr>
              <w:t> </w:t>
            </w:r>
          </w:p>
        </w:tc>
      </w:tr>
    </w:tbl>
    <w:p w:rsidR="003C1C74" w:rsidRDefault="003C1C74" w:rsidP="00E4180F">
      <w:pPr>
        <w:jc w:val="both"/>
        <w:rPr>
          <w:sz w:val="22"/>
          <w:szCs w:val="22"/>
        </w:rPr>
      </w:pPr>
      <w:r>
        <w:rPr>
          <w:sz w:val="22"/>
          <w:szCs w:val="22"/>
        </w:rPr>
        <w:t>Ve výsledku hospodaření</w:t>
      </w:r>
      <w:r w:rsidR="003A3658">
        <w:rPr>
          <w:sz w:val="22"/>
          <w:szCs w:val="22"/>
        </w:rPr>
        <w:t xml:space="preserve"> </w:t>
      </w:r>
      <w:r>
        <w:rPr>
          <w:sz w:val="22"/>
          <w:szCs w:val="22"/>
        </w:rPr>
        <w:t>běžný rok se v celkově uváděné částce promítá</w:t>
      </w:r>
      <w:r w:rsidR="003A3658">
        <w:rPr>
          <w:sz w:val="22"/>
          <w:szCs w:val="22"/>
        </w:rPr>
        <w:t xml:space="preserve"> </w:t>
      </w:r>
      <w:r>
        <w:rPr>
          <w:sz w:val="22"/>
          <w:szCs w:val="22"/>
        </w:rPr>
        <w:t>u příspěvkové organizace MŠ Tréglova částka ve výši 51.091</w:t>
      </w:r>
      <w:r w:rsidR="005E1108">
        <w:rPr>
          <w:sz w:val="22"/>
          <w:szCs w:val="22"/>
        </w:rPr>
        <w:t> Kč</w:t>
      </w:r>
      <w:r>
        <w:rPr>
          <w:sz w:val="22"/>
          <w:szCs w:val="22"/>
        </w:rPr>
        <w:t xml:space="preserve"> (úspora neinvestičního příspěvku od zřizovatele za rok 2013) a u MŠ U železničního mostu částka ve výši 22.835</w:t>
      </w:r>
      <w:r w:rsidR="005E1108">
        <w:rPr>
          <w:sz w:val="22"/>
          <w:szCs w:val="22"/>
        </w:rPr>
        <w:t> Kč</w:t>
      </w:r>
      <w:r>
        <w:rPr>
          <w:sz w:val="22"/>
          <w:szCs w:val="22"/>
        </w:rPr>
        <w:t xml:space="preserve"> (úspora neinvestičního příspěvku z r</w:t>
      </w:r>
      <w:r w:rsidR="00C61E53">
        <w:rPr>
          <w:sz w:val="22"/>
          <w:szCs w:val="22"/>
        </w:rPr>
        <w:t>oku</w:t>
      </w:r>
      <w:r>
        <w:rPr>
          <w:sz w:val="22"/>
          <w:szCs w:val="22"/>
        </w:rPr>
        <w:t xml:space="preserve"> 2013)</w:t>
      </w:r>
      <w:r w:rsidR="00150F47">
        <w:rPr>
          <w:sz w:val="22"/>
          <w:szCs w:val="22"/>
        </w:rPr>
        <w:t xml:space="preserve">. Účetně mělo být zaúčtováno na účtu 349 Závazky k vybraným institucím. </w:t>
      </w:r>
      <w:r w:rsidR="00D43E1E">
        <w:rPr>
          <w:sz w:val="22"/>
          <w:szCs w:val="22"/>
        </w:rPr>
        <w:t xml:space="preserve">Oprava zaúčtování bude provedena v závěrce za </w:t>
      </w:r>
      <w:r w:rsidR="00C61E53">
        <w:rPr>
          <w:sz w:val="22"/>
          <w:szCs w:val="22"/>
        </w:rPr>
        <w:t>1</w:t>
      </w:r>
      <w:r w:rsidR="00D43E1E">
        <w:rPr>
          <w:sz w:val="22"/>
          <w:szCs w:val="22"/>
        </w:rPr>
        <w:t>.</w:t>
      </w:r>
      <w:r w:rsidR="00C61E53">
        <w:rPr>
          <w:sz w:val="22"/>
          <w:szCs w:val="22"/>
        </w:rPr>
        <w:t xml:space="preserve"> čtvrtletí </w:t>
      </w:r>
      <w:r w:rsidR="00D43E1E">
        <w:rPr>
          <w:sz w:val="22"/>
          <w:szCs w:val="22"/>
        </w:rPr>
        <w:t>2014.</w:t>
      </w:r>
      <w:r w:rsidR="003D701C">
        <w:rPr>
          <w:sz w:val="22"/>
          <w:szCs w:val="22"/>
        </w:rPr>
        <w:t xml:space="preserve"> </w:t>
      </w:r>
    </w:p>
    <w:p w:rsidR="00E4180F" w:rsidRPr="00F20418" w:rsidRDefault="00EE3135" w:rsidP="00E4180F">
      <w:pPr>
        <w:jc w:val="both"/>
        <w:rPr>
          <w:sz w:val="22"/>
          <w:szCs w:val="22"/>
        </w:rPr>
      </w:pPr>
      <w:r w:rsidRPr="00F20418">
        <w:rPr>
          <w:sz w:val="22"/>
          <w:szCs w:val="22"/>
        </w:rPr>
        <w:t>Součástí závěrečného účtu je v příloze č</w:t>
      </w:r>
      <w:r w:rsidR="00E236A7">
        <w:rPr>
          <w:sz w:val="22"/>
          <w:szCs w:val="22"/>
        </w:rPr>
        <w:t>.</w:t>
      </w:r>
      <w:r w:rsidR="00123997">
        <w:rPr>
          <w:sz w:val="22"/>
          <w:szCs w:val="22"/>
        </w:rPr>
        <w:t xml:space="preserve"> </w:t>
      </w:r>
      <w:r w:rsidR="004F0740" w:rsidRPr="00F20418">
        <w:rPr>
          <w:sz w:val="22"/>
          <w:szCs w:val="22"/>
        </w:rPr>
        <w:t>1</w:t>
      </w:r>
      <w:r w:rsidR="00A71B72">
        <w:rPr>
          <w:sz w:val="22"/>
          <w:szCs w:val="22"/>
        </w:rPr>
        <w:t>1</w:t>
      </w:r>
      <w:r w:rsidR="004F0740" w:rsidRPr="00F20418">
        <w:rPr>
          <w:sz w:val="22"/>
          <w:szCs w:val="22"/>
        </w:rPr>
        <w:t xml:space="preserve"> tabulka</w:t>
      </w:r>
      <w:r w:rsidRPr="00F20418">
        <w:rPr>
          <w:sz w:val="22"/>
          <w:szCs w:val="22"/>
        </w:rPr>
        <w:t xml:space="preserve"> </w:t>
      </w:r>
      <w:r w:rsidR="00E4180F" w:rsidRPr="00F20418">
        <w:rPr>
          <w:sz w:val="22"/>
          <w:szCs w:val="22"/>
        </w:rPr>
        <w:t>Přehled o pohybu dlouhodobého majetku organ</w:t>
      </w:r>
      <w:r w:rsidR="00E4180F" w:rsidRPr="00F20418">
        <w:rPr>
          <w:sz w:val="22"/>
          <w:szCs w:val="22"/>
        </w:rPr>
        <w:t>i</w:t>
      </w:r>
      <w:r w:rsidR="00E4180F" w:rsidRPr="00F20418">
        <w:rPr>
          <w:sz w:val="22"/>
          <w:szCs w:val="22"/>
        </w:rPr>
        <w:t>zací rok 20</w:t>
      </w:r>
      <w:r w:rsidR="00E01971" w:rsidRPr="00F20418">
        <w:rPr>
          <w:sz w:val="22"/>
          <w:szCs w:val="22"/>
        </w:rPr>
        <w:t>1</w:t>
      </w:r>
      <w:r w:rsidR="00A605C0">
        <w:rPr>
          <w:sz w:val="22"/>
          <w:szCs w:val="22"/>
        </w:rPr>
        <w:t>1</w:t>
      </w:r>
      <w:r w:rsidR="00E4180F" w:rsidRPr="00F20418">
        <w:rPr>
          <w:sz w:val="22"/>
          <w:szCs w:val="22"/>
        </w:rPr>
        <w:t xml:space="preserve"> – 201</w:t>
      </w:r>
      <w:r w:rsidR="00A605C0">
        <w:rPr>
          <w:sz w:val="22"/>
          <w:szCs w:val="22"/>
        </w:rPr>
        <w:t>3</w:t>
      </w:r>
      <w:r w:rsidR="00E4180F" w:rsidRPr="00F20418">
        <w:rPr>
          <w:sz w:val="22"/>
          <w:szCs w:val="22"/>
        </w:rPr>
        <w:t>, kde je uveden počáteční stav majetku, přírůstek, či úbytek a konečný stav m</w:t>
      </w:r>
      <w:r w:rsidR="00E4180F" w:rsidRPr="00F20418">
        <w:rPr>
          <w:sz w:val="22"/>
          <w:szCs w:val="22"/>
        </w:rPr>
        <w:t>a</w:t>
      </w:r>
      <w:r w:rsidR="00E4180F" w:rsidRPr="00F20418">
        <w:rPr>
          <w:sz w:val="22"/>
          <w:szCs w:val="22"/>
        </w:rPr>
        <w:t>jetku.</w:t>
      </w:r>
    </w:p>
    <w:p w:rsidR="003C1C74" w:rsidRPr="009B6E53" w:rsidRDefault="00E4180F" w:rsidP="009B6E53">
      <w:pPr>
        <w:jc w:val="both"/>
        <w:rPr>
          <w:sz w:val="22"/>
          <w:szCs w:val="22"/>
        </w:rPr>
      </w:pPr>
      <w:r w:rsidRPr="00F20418">
        <w:rPr>
          <w:sz w:val="22"/>
          <w:szCs w:val="22"/>
        </w:rPr>
        <w:t>Účetní výkazy zřízených příspěvkových organizací jsou založeny na odboru ekonomickém</w:t>
      </w:r>
      <w:r w:rsidR="00C61E53">
        <w:rPr>
          <w:sz w:val="22"/>
          <w:szCs w:val="22"/>
        </w:rPr>
        <w:t>, účetní závěrky příspěvkových organizací jsou předkládány ke schválení RMČ.</w:t>
      </w:r>
    </w:p>
    <w:p w:rsidR="003C1C74" w:rsidRDefault="003C1C74" w:rsidP="00320381">
      <w:pPr>
        <w:rPr>
          <w:b/>
          <w:sz w:val="22"/>
          <w:szCs w:val="22"/>
        </w:rPr>
      </w:pPr>
    </w:p>
    <w:p w:rsidR="00320381" w:rsidRPr="00D20F51" w:rsidRDefault="00320381" w:rsidP="00320381">
      <w:pPr>
        <w:rPr>
          <w:b/>
          <w:sz w:val="22"/>
          <w:szCs w:val="22"/>
        </w:rPr>
      </w:pPr>
      <w:r w:rsidRPr="003C1C74">
        <w:rPr>
          <w:b/>
          <w:sz w:val="22"/>
          <w:szCs w:val="22"/>
        </w:rPr>
        <w:t>Zdravotnické zařízení Smíchov</w:t>
      </w:r>
    </w:p>
    <w:p w:rsidR="00A605C0" w:rsidRPr="00351854" w:rsidRDefault="00A605C0" w:rsidP="00A71B72">
      <w:pPr>
        <w:jc w:val="both"/>
        <w:rPr>
          <w:sz w:val="22"/>
          <w:szCs w:val="22"/>
        </w:rPr>
      </w:pPr>
      <w:r>
        <w:rPr>
          <w:sz w:val="22"/>
          <w:szCs w:val="22"/>
        </w:rPr>
        <w:t xml:space="preserve">Zdravotnické zařízení Smíchov </w:t>
      </w:r>
      <w:r w:rsidR="00A263C6">
        <w:rPr>
          <w:sz w:val="22"/>
          <w:szCs w:val="22"/>
        </w:rPr>
        <w:t>Praha 5, Kartouzská 204/6,</w:t>
      </w:r>
      <w:r>
        <w:rPr>
          <w:sz w:val="22"/>
          <w:szCs w:val="22"/>
        </w:rPr>
        <w:t xml:space="preserve"> příspěvková organizace</w:t>
      </w:r>
      <w:r w:rsidR="00A263C6">
        <w:rPr>
          <w:sz w:val="22"/>
          <w:szCs w:val="22"/>
        </w:rPr>
        <w:t>,</w:t>
      </w:r>
      <w:r>
        <w:rPr>
          <w:sz w:val="22"/>
          <w:szCs w:val="22"/>
        </w:rPr>
        <w:t xml:space="preserve"> ukončila činnost k 30.6.2013</w:t>
      </w:r>
      <w:r w:rsidR="00A263C6">
        <w:rPr>
          <w:sz w:val="22"/>
          <w:szCs w:val="22"/>
        </w:rPr>
        <w:t xml:space="preserve"> na základě usnesení Zastupitelstva </w:t>
      </w:r>
      <w:r>
        <w:rPr>
          <w:sz w:val="22"/>
          <w:szCs w:val="22"/>
        </w:rPr>
        <w:t xml:space="preserve">městské části </w:t>
      </w:r>
      <w:r w:rsidR="00037DBE">
        <w:rPr>
          <w:sz w:val="22"/>
          <w:szCs w:val="22"/>
        </w:rPr>
        <w:t>č</w:t>
      </w:r>
      <w:r>
        <w:rPr>
          <w:sz w:val="22"/>
          <w:szCs w:val="22"/>
        </w:rPr>
        <w:t>ís</w:t>
      </w:r>
      <w:r w:rsidR="00037DBE">
        <w:rPr>
          <w:sz w:val="22"/>
          <w:szCs w:val="22"/>
        </w:rPr>
        <w:t>lo 25/32/2013 ze dne 16.5.2013. So</w:t>
      </w:r>
      <w:r w:rsidR="00037DBE">
        <w:rPr>
          <w:sz w:val="22"/>
          <w:szCs w:val="22"/>
        </w:rPr>
        <w:t>u</w:t>
      </w:r>
      <w:r w:rsidR="00037DBE">
        <w:rPr>
          <w:sz w:val="22"/>
          <w:szCs w:val="22"/>
        </w:rPr>
        <w:t xml:space="preserve">částí likvidačních prací byl i převod finančních prostředků do Fondu rezerv a rozvoje ve </w:t>
      </w:r>
      <w:r w:rsidR="00037DBE" w:rsidRPr="00351854">
        <w:rPr>
          <w:sz w:val="22"/>
          <w:szCs w:val="22"/>
        </w:rPr>
        <w:t xml:space="preserve">výši </w:t>
      </w:r>
      <w:r w:rsidR="00037DBE" w:rsidRPr="00351854">
        <w:rPr>
          <w:sz w:val="22"/>
          <w:szCs w:val="22"/>
          <w:shd w:val="clear" w:color="auto" w:fill="FFFFFF"/>
        </w:rPr>
        <w:t>969.608</w:t>
      </w:r>
      <w:r w:rsidR="00351854">
        <w:rPr>
          <w:sz w:val="22"/>
          <w:szCs w:val="22"/>
          <w:shd w:val="clear" w:color="auto" w:fill="FFFFFF"/>
        </w:rPr>
        <w:t> </w:t>
      </w:r>
      <w:r w:rsidR="00037DBE" w:rsidRPr="00351854">
        <w:rPr>
          <w:sz w:val="22"/>
          <w:szCs w:val="22"/>
          <w:shd w:val="clear" w:color="auto" w:fill="FFFFFF"/>
        </w:rPr>
        <w:t>Kč.</w:t>
      </w:r>
    </w:p>
    <w:p w:rsidR="00A605C0" w:rsidRDefault="00A605C0" w:rsidP="00320381">
      <w:pPr>
        <w:rPr>
          <w:sz w:val="22"/>
          <w:szCs w:val="22"/>
        </w:rPr>
      </w:pPr>
    </w:p>
    <w:p w:rsidR="00C046B1" w:rsidRPr="004F02C9" w:rsidRDefault="004B55B5" w:rsidP="00AA76C9">
      <w:pPr>
        <w:pStyle w:val="Nadpis2"/>
      </w:pPr>
      <w:bookmarkStart w:id="51" w:name="_Toc385875230"/>
      <w:r w:rsidRPr="00150F47">
        <w:rPr>
          <w:rStyle w:val="Nadpis3Char"/>
          <w:sz w:val="24"/>
        </w:rPr>
        <w:t>7</w:t>
      </w:r>
      <w:r w:rsidR="009E70E9" w:rsidRPr="00150F47">
        <w:rPr>
          <w:rStyle w:val="Nadpis3Char"/>
          <w:sz w:val="24"/>
        </w:rPr>
        <w:t>. H</w:t>
      </w:r>
      <w:r w:rsidR="00AF42B4" w:rsidRPr="00150F47">
        <w:rPr>
          <w:rStyle w:val="Nadpis3Char"/>
          <w:sz w:val="24"/>
        </w:rPr>
        <w:t>ospodaření ostatních organizací založených městskou částí</w:t>
      </w:r>
      <w:bookmarkEnd w:id="51"/>
    </w:p>
    <w:p w:rsidR="00EE2A45" w:rsidRPr="00F20418" w:rsidRDefault="009E70E9" w:rsidP="00B800A4">
      <w:pPr>
        <w:jc w:val="both"/>
        <w:rPr>
          <w:rFonts w:eastAsia="Arial Unicode MS"/>
          <w:sz w:val="22"/>
          <w:szCs w:val="22"/>
        </w:rPr>
      </w:pPr>
      <w:r w:rsidRPr="00F20418">
        <w:rPr>
          <w:rFonts w:eastAsia="Arial Unicode MS"/>
          <w:sz w:val="22"/>
          <w:szCs w:val="22"/>
        </w:rPr>
        <w:t>Městská část je zakladatelem společnosti Informační centrum Praha 5, o.</w:t>
      </w:r>
      <w:r w:rsidR="00351854">
        <w:rPr>
          <w:rFonts w:eastAsia="Arial Unicode MS"/>
          <w:sz w:val="22"/>
          <w:szCs w:val="22"/>
        </w:rPr>
        <w:t xml:space="preserve"> </w:t>
      </w:r>
      <w:r w:rsidRPr="00F20418">
        <w:rPr>
          <w:rFonts w:eastAsia="Arial Unicode MS"/>
          <w:sz w:val="22"/>
          <w:szCs w:val="22"/>
        </w:rPr>
        <w:t>p.</w:t>
      </w:r>
      <w:r w:rsidR="00351854">
        <w:rPr>
          <w:rFonts w:eastAsia="Arial Unicode MS"/>
          <w:sz w:val="22"/>
          <w:szCs w:val="22"/>
        </w:rPr>
        <w:t xml:space="preserve"> </w:t>
      </w:r>
      <w:r w:rsidRPr="00F20418">
        <w:rPr>
          <w:rFonts w:eastAsia="Arial Unicode MS"/>
          <w:sz w:val="22"/>
          <w:szCs w:val="22"/>
        </w:rPr>
        <w:t>s.</w:t>
      </w:r>
      <w:r w:rsidR="00771A39" w:rsidRPr="00F20418">
        <w:rPr>
          <w:rFonts w:eastAsia="Arial Unicode MS"/>
          <w:sz w:val="22"/>
          <w:szCs w:val="22"/>
        </w:rPr>
        <w:t xml:space="preserve"> </w:t>
      </w:r>
      <w:r w:rsidR="00580B79" w:rsidRPr="00F20418">
        <w:rPr>
          <w:rFonts w:eastAsia="Arial Unicode MS"/>
          <w:sz w:val="22"/>
          <w:szCs w:val="22"/>
        </w:rPr>
        <w:t>Organizace hospodaří samostatně, městská část se podstatnou měrou podílí na jejím financování.</w:t>
      </w:r>
      <w:r w:rsidR="00C61E53">
        <w:rPr>
          <w:rFonts w:eastAsia="Arial Unicode MS"/>
          <w:sz w:val="22"/>
          <w:szCs w:val="22"/>
        </w:rPr>
        <w:t xml:space="preserve"> Městská část zřídila v roce 2011 Nadační fond Pragae Quinta Regione</w:t>
      </w:r>
      <w:r w:rsidR="00797F6F">
        <w:rPr>
          <w:rFonts w:eastAsia="Arial Unicode MS"/>
          <w:sz w:val="22"/>
          <w:szCs w:val="22"/>
        </w:rPr>
        <w:t>.</w:t>
      </w:r>
    </w:p>
    <w:p w:rsidR="00A5796B" w:rsidRDefault="00A5796B" w:rsidP="000C5A1A">
      <w:pPr>
        <w:rPr>
          <w:b/>
          <w:sz w:val="22"/>
          <w:szCs w:val="22"/>
        </w:rPr>
      </w:pPr>
    </w:p>
    <w:p w:rsidR="00A5796B" w:rsidRDefault="00A5796B" w:rsidP="00797F6F">
      <w:pPr>
        <w:pStyle w:val="Nadpis3"/>
      </w:pPr>
      <w:bookmarkStart w:id="52" w:name="_Toc385875231"/>
      <w:r w:rsidRPr="0037324D">
        <w:t>Informační centrum Praha 5, o</w:t>
      </w:r>
      <w:r w:rsidR="00661CDF">
        <w:t>becně prospěšná společnost</w:t>
      </w:r>
      <w:bookmarkEnd w:id="52"/>
    </w:p>
    <w:p w:rsidR="00A5796B" w:rsidRPr="00E87910" w:rsidRDefault="00A5796B" w:rsidP="00A5796B">
      <w:pPr>
        <w:autoSpaceDE w:val="0"/>
        <w:autoSpaceDN w:val="0"/>
        <w:adjustRightInd w:val="0"/>
        <w:jc w:val="both"/>
        <w:rPr>
          <w:sz w:val="22"/>
          <w:szCs w:val="22"/>
        </w:rPr>
      </w:pPr>
      <w:r w:rsidRPr="0068769C">
        <w:rPr>
          <w:sz w:val="22"/>
          <w:szCs w:val="22"/>
        </w:rPr>
        <w:t>Informační centrum Praha 5, o</w:t>
      </w:r>
      <w:r w:rsidR="00FD119C">
        <w:rPr>
          <w:sz w:val="22"/>
          <w:szCs w:val="22"/>
        </w:rPr>
        <w:t xml:space="preserve"> </w:t>
      </w:r>
      <w:r w:rsidRPr="0068769C">
        <w:rPr>
          <w:sz w:val="22"/>
          <w:szCs w:val="22"/>
        </w:rPr>
        <w:t>.p.</w:t>
      </w:r>
      <w:r w:rsidR="00FD119C">
        <w:rPr>
          <w:sz w:val="22"/>
          <w:szCs w:val="22"/>
        </w:rPr>
        <w:t xml:space="preserve"> </w:t>
      </w:r>
      <w:r w:rsidRPr="0068769C">
        <w:rPr>
          <w:sz w:val="22"/>
          <w:szCs w:val="22"/>
        </w:rPr>
        <w:t>s. v průběhu roku 2013 realizovala činnosti vyplývající z jejího p</w:t>
      </w:r>
      <w:r w:rsidRPr="0068769C">
        <w:rPr>
          <w:sz w:val="22"/>
          <w:szCs w:val="22"/>
        </w:rPr>
        <w:t>o</w:t>
      </w:r>
      <w:r w:rsidRPr="0068769C">
        <w:rPr>
          <w:sz w:val="22"/>
          <w:szCs w:val="22"/>
        </w:rPr>
        <w:t>slání a účelu, k němuž byla zřízena.</w:t>
      </w:r>
      <w:r w:rsidR="00FD119C">
        <w:rPr>
          <w:sz w:val="22"/>
          <w:szCs w:val="22"/>
        </w:rPr>
        <w:t xml:space="preserve"> </w:t>
      </w:r>
      <w:r w:rsidRPr="00E87910">
        <w:rPr>
          <w:sz w:val="22"/>
          <w:szCs w:val="22"/>
        </w:rPr>
        <w:t xml:space="preserve">Provozní příspěvky a dotace ve výši 2.735 </w:t>
      </w:r>
      <w:r w:rsidR="005E1108">
        <w:rPr>
          <w:sz w:val="22"/>
          <w:szCs w:val="22"/>
        </w:rPr>
        <w:t>tis. Kč</w:t>
      </w:r>
      <w:r w:rsidRPr="00E87910">
        <w:rPr>
          <w:sz w:val="22"/>
          <w:szCs w:val="22"/>
        </w:rPr>
        <w:t xml:space="preserve"> byly obdrženy a zúčtovány na základě smlouvy s </w:t>
      </w:r>
      <w:r w:rsidR="00961D4E">
        <w:rPr>
          <w:sz w:val="22"/>
          <w:szCs w:val="22"/>
        </w:rPr>
        <w:t>m</w:t>
      </w:r>
      <w:r w:rsidRPr="00E87910">
        <w:rPr>
          <w:sz w:val="22"/>
          <w:szCs w:val="22"/>
        </w:rPr>
        <w:t>ěstskou částí ve prospěch realizace obecně prospěšných činností a v souladu s finančním plánem.</w:t>
      </w:r>
    </w:p>
    <w:p w:rsidR="00A5796B" w:rsidRDefault="00A5796B" w:rsidP="00A5796B">
      <w:pPr>
        <w:tabs>
          <w:tab w:val="left" w:pos="708"/>
          <w:tab w:val="left" w:pos="1416"/>
          <w:tab w:val="left" w:pos="2124"/>
          <w:tab w:val="left" w:pos="7425"/>
        </w:tabs>
        <w:jc w:val="both"/>
        <w:rPr>
          <w:rStyle w:val="Nadpis3Char"/>
          <w:b w:val="0"/>
          <w:bCs w:val="0"/>
          <w:color w:val="000000"/>
          <w:sz w:val="22"/>
          <w:szCs w:val="22"/>
        </w:rPr>
      </w:pPr>
    </w:p>
    <w:p w:rsidR="00A5796B" w:rsidRPr="00180049" w:rsidRDefault="00A5796B" w:rsidP="00A5796B">
      <w:pPr>
        <w:rPr>
          <w:bCs/>
          <w:i/>
          <w:sz w:val="22"/>
          <w:szCs w:val="22"/>
        </w:rPr>
      </w:pPr>
      <w:r w:rsidRPr="00180049">
        <w:rPr>
          <w:bCs/>
          <w:i/>
          <w:sz w:val="22"/>
          <w:szCs w:val="22"/>
        </w:rPr>
        <w:t>Operační program Praha Konkurenceschopnost</w:t>
      </w:r>
    </w:p>
    <w:p w:rsidR="00A5796B" w:rsidRPr="00546CC3" w:rsidRDefault="00A5796B" w:rsidP="00A5796B">
      <w:pPr>
        <w:pStyle w:val="Zkladntext"/>
        <w:rPr>
          <w:sz w:val="22"/>
          <w:szCs w:val="22"/>
        </w:rPr>
      </w:pPr>
      <w:r w:rsidRPr="00AA6722">
        <w:rPr>
          <w:sz w:val="22"/>
          <w:szCs w:val="22"/>
        </w:rPr>
        <w:t xml:space="preserve">V rámci </w:t>
      </w:r>
      <w:r w:rsidR="00BC0AE2">
        <w:rPr>
          <w:sz w:val="22"/>
          <w:szCs w:val="22"/>
        </w:rPr>
        <w:t>operačního programu</w:t>
      </w:r>
      <w:r w:rsidRPr="00AA6722">
        <w:rPr>
          <w:sz w:val="22"/>
          <w:szCs w:val="22"/>
        </w:rPr>
        <w:t xml:space="preserve"> je v informačním centru realizován projekt „Informační centrum pro podporu služeb cestovního ruchu v Praze 5“. </w:t>
      </w:r>
      <w:r w:rsidR="00BC0AE2">
        <w:rPr>
          <w:sz w:val="22"/>
          <w:szCs w:val="22"/>
        </w:rPr>
        <w:t xml:space="preserve">Součástí projektu byla rekonstrukce a vybavení objektu Infocentra ve Štefánikově ulici č. 30. </w:t>
      </w:r>
      <w:r w:rsidRPr="00546CC3">
        <w:rPr>
          <w:sz w:val="22"/>
          <w:szCs w:val="22"/>
        </w:rPr>
        <w:t>V návaznosti na vyhodnocení plnění indikátorů vyplývající z realizovaného projektu byl ze strany Magistrátu hl.</w:t>
      </w:r>
      <w:r w:rsidR="00116A3A">
        <w:rPr>
          <w:sz w:val="22"/>
          <w:szCs w:val="22"/>
        </w:rPr>
        <w:t xml:space="preserve"> </w:t>
      </w:r>
      <w:r w:rsidRPr="00546CC3">
        <w:rPr>
          <w:sz w:val="22"/>
          <w:szCs w:val="22"/>
        </w:rPr>
        <w:t>m.</w:t>
      </w:r>
      <w:r w:rsidR="00116A3A">
        <w:rPr>
          <w:sz w:val="22"/>
          <w:szCs w:val="22"/>
        </w:rPr>
        <w:t xml:space="preserve"> </w:t>
      </w:r>
      <w:r w:rsidRPr="00546CC3">
        <w:rPr>
          <w:sz w:val="22"/>
          <w:szCs w:val="22"/>
        </w:rPr>
        <w:t xml:space="preserve">Prahy společnosti vystaven platební výměr na odvod za porušení rozpočtové kázně ve výši 6.643 </w:t>
      </w:r>
      <w:r w:rsidR="005E1108">
        <w:rPr>
          <w:sz w:val="22"/>
          <w:szCs w:val="22"/>
        </w:rPr>
        <w:t>tis. Kč</w:t>
      </w:r>
      <w:r w:rsidRPr="00546CC3">
        <w:rPr>
          <w:sz w:val="22"/>
          <w:szCs w:val="22"/>
        </w:rPr>
        <w:t>. Společnost požádala o prominutí a pose</w:t>
      </w:r>
      <w:r w:rsidRPr="00546CC3">
        <w:rPr>
          <w:sz w:val="22"/>
          <w:szCs w:val="22"/>
        </w:rPr>
        <w:t>č</w:t>
      </w:r>
      <w:r w:rsidRPr="00546CC3">
        <w:rPr>
          <w:sz w:val="22"/>
          <w:szCs w:val="22"/>
        </w:rPr>
        <w:t xml:space="preserve">kání s odvodem, přičemž jí </w:t>
      </w:r>
      <w:proofErr w:type="gramStart"/>
      <w:r w:rsidRPr="00546CC3">
        <w:rPr>
          <w:sz w:val="22"/>
          <w:szCs w:val="22"/>
        </w:rPr>
        <w:t>bylo</w:t>
      </w:r>
      <w:proofErr w:type="gramEnd"/>
      <w:r w:rsidRPr="00546CC3">
        <w:rPr>
          <w:sz w:val="22"/>
          <w:szCs w:val="22"/>
        </w:rPr>
        <w:t xml:space="preserve"> </w:t>
      </w:r>
      <w:r w:rsidR="00CD7F4C" w:rsidRPr="00546CC3">
        <w:rPr>
          <w:sz w:val="22"/>
          <w:szCs w:val="22"/>
        </w:rPr>
        <w:t>vyhověno</w:t>
      </w:r>
      <w:r w:rsidR="00CD7F4C">
        <w:rPr>
          <w:sz w:val="22"/>
          <w:szCs w:val="22"/>
        </w:rPr>
        <w:t xml:space="preserve"> </w:t>
      </w:r>
      <w:r w:rsidR="004E4964">
        <w:rPr>
          <w:sz w:val="22"/>
          <w:szCs w:val="22"/>
        </w:rPr>
        <w:t>a</w:t>
      </w:r>
      <w:r w:rsidR="00CD7F4C">
        <w:rPr>
          <w:sz w:val="22"/>
          <w:szCs w:val="22"/>
        </w:rPr>
        <w:t>však</w:t>
      </w:r>
      <w:r w:rsidR="004E4964">
        <w:rPr>
          <w:sz w:val="22"/>
          <w:szCs w:val="22"/>
        </w:rPr>
        <w:t xml:space="preserve"> </w:t>
      </w:r>
      <w:proofErr w:type="gramStart"/>
      <w:r w:rsidR="004E4964">
        <w:rPr>
          <w:sz w:val="22"/>
          <w:szCs w:val="22"/>
        </w:rPr>
        <w:t>byl</w:t>
      </w:r>
      <w:proofErr w:type="gramEnd"/>
      <w:r w:rsidR="004E4964">
        <w:rPr>
          <w:sz w:val="22"/>
          <w:szCs w:val="22"/>
        </w:rPr>
        <w:t xml:space="preserve"> ponechán odvod ve výši </w:t>
      </w:r>
      <w:r w:rsidR="004E4964" w:rsidRPr="004E4964">
        <w:rPr>
          <w:sz w:val="22"/>
          <w:szCs w:val="22"/>
        </w:rPr>
        <w:t>1.070.841 </w:t>
      </w:r>
      <w:r w:rsidR="004E4964">
        <w:rPr>
          <w:sz w:val="22"/>
          <w:szCs w:val="22"/>
        </w:rPr>
        <w:t>Kč</w:t>
      </w:r>
      <w:r w:rsidRPr="00546CC3">
        <w:rPr>
          <w:sz w:val="22"/>
          <w:szCs w:val="22"/>
        </w:rPr>
        <w:t>. Tato významná skutečnost byla také zohledněn</w:t>
      </w:r>
      <w:r w:rsidR="00F01FDC">
        <w:rPr>
          <w:sz w:val="22"/>
          <w:szCs w:val="22"/>
        </w:rPr>
        <w:t>a v účetní závěrce za rok 2013.</w:t>
      </w:r>
    </w:p>
    <w:p w:rsidR="00A5796B" w:rsidRPr="00AA6722" w:rsidRDefault="00A5796B" w:rsidP="00CD7F4C">
      <w:pPr>
        <w:jc w:val="center"/>
        <w:rPr>
          <w:sz w:val="22"/>
          <w:szCs w:val="22"/>
        </w:rPr>
      </w:pPr>
    </w:p>
    <w:p w:rsidR="00A5796B" w:rsidRPr="0068769C" w:rsidRDefault="00A5796B" w:rsidP="00A5796B">
      <w:pPr>
        <w:autoSpaceDE w:val="0"/>
        <w:autoSpaceDN w:val="0"/>
        <w:adjustRightInd w:val="0"/>
        <w:jc w:val="both"/>
        <w:rPr>
          <w:sz w:val="22"/>
          <w:szCs w:val="22"/>
        </w:rPr>
      </w:pPr>
      <w:r w:rsidRPr="0068769C">
        <w:rPr>
          <w:sz w:val="22"/>
          <w:szCs w:val="22"/>
        </w:rPr>
        <w:t>Celkově společnost vykázala za rok 20</w:t>
      </w:r>
      <w:r w:rsidR="00F708CA">
        <w:rPr>
          <w:sz w:val="22"/>
          <w:szCs w:val="22"/>
        </w:rPr>
        <w:t xml:space="preserve">13 výsledek hospodaření ztrátu </w:t>
      </w:r>
      <w:r w:rsidRPr="0068769C">
        <w:rPr>
          <w:sz w:val="22"/>
          <w:szCs w:val="22"/>
        </w:rPr>
        <w:t>1.332.600,57</w:t>
      </w:r>
      <w:r w:rsidR="005E1108">
        <w:rPr>
          <w:sz w:val="22"/>
          <w:szCs w:val="22"/>
        </w:rPr>
        <w:t> Kč</w:t>
      </w:r>
      <w:r w:rsidRPr="0068769C">
        <w:rPr>
          <w:sz w:val="22"/>
          <w:szCs w:val="22"/>
        </w:rPr>
        <w:t>, která byla významně ovlivněna předpisem odvodu za porušení rozpočtové kázně</w:t>
      </w:r>
      <w:r w:rsidR="004E4964">
        <w:rPr>
          <w:sz w:val="22"/>
          <w:szCs w:val="22"/>
        </w:rPr>
        <w:t>.</w:t>
      </w:r>
    </w:p>
    <w:p w:rsidR="00A5796B" w:rsidRDefault="00A5796B" w:rsidP="00A5796B">
      <w:pPr>
        <w:tabs>
          <w:tab w:val="left" w:pos="708"/>
          <w:tab w:val="left" w:pos="1416"/>
          <w:tab w:val="left" w:pos="2124"/>
          <w:tab w:val="left" w:pos="7425"/>
        </w:tabs>
        <w:jc w:val="both"/>
        <w:rPr>
          <w:rStyle w:val="Nadpis3Char"/>
          <w:b w:val="0"/>
          <w:bCs w:val="0"/>
          <w:color w:val="000000"/>
          <w:sz w:val="22"/>
          <w:szCs w:val="22"/>
        </w:rPr>
      </w:pPr>
    </w:p>
    <w:p w:rsidR="003F0AE2" w:rsidRPr="0068769C" w:rsidRDefault="00A5796B" w:rsidP="003F0AE2">
      <w:pPr>
        <w:autoSpaceDE w:val="0"/>
        <w:autoSpaceDN w:val="0"/>
        <w:adjustRightInd w:val="0"/>
        <w:jc w:val="both"/>
        <w:rPr>
          <w:sz w:val="22"/>
          <w:szCs w:val="22"/>
        </w:rPr>
      </w:pPr>
      <w:r w:rsidRPr="0068769C">
        <w:rPr>
          <w:sz w:val="22"/>
          <w:szCs w:val="22"/>
        </w:rPr>
        <w:t>V této souvislosti a ve prospěch plnění finančního plánu veřejně prospěšných činností zúčtovala v účetním období od zřizovatele částku 2.734.992</w:t>
      </w:r>
      <w:r w:rsidR="005E1108">
        <w:rPr>
          <w:sz w:val="22"/>
          <w:szCs w:val="22"/>
        </w:rPr>
        <w:t> Kč</w:t>
      </w:r>
      <w:r w:rsidRPr="0068769C">
        <w:rPr>
          <w:sz w:val="22"/>
          <w:szCs w:val="22"/>
        </w:rPr>
        <w:t>, z čehož částka ve výši 242.916</w:t>
      </w:r>
      <w:r w:rsidR="005E1108">
        <w:rPr>
          <w:sz w:val="22"/>
          <w:szCs w:val="22"/>
        </w:rPr>
        <w:t> Kč</w:t>
      </w:r>
      <w:r w:rsidRPr="0068769C">
        <w:rPr>
          <w:sz w:val="22"/>
          <w:szCs w:val="22"/>
        </w:rPr>
        <w:t xml:space="preserve"> byla uhrazena </w:t>
      </w:r>
      <w:r w:rsidRPr="0068769C">
        <w:rPr>
          <w:sz w:val="22"/>
          <w:szCs w:val="22"/>
        </w:rPr>
        <w:lastRenderedPageBreak/>
        <w:t>v následujícím účetním období.</w:t>
      </w:r>
      <w:r w:rsidR="003F0AE2" w:rsidRPr="003F0AE2">
        <w:rPr>
          <w:sz w:val="22"/>
          <w:szCs w:val="22"/>
        </w:rPr>
        <w:t xml:space="preserve"> </w:t>
      </w:r>
      <w:r w:rsidR="003F0AE2" w:rsidRPr="0068769C">
        <w:rPr>
          <w:sz w:val="22"/>
          <w:szCs w:val="22"/>
        </w:rPr>
        <w:t xml:space="preserve">V rámci své hlavní činnosti realizovala společnost </w:t>
      </w:r>
      <w:r w:rsidR="004E1157">
        <w:rPr>
          <w:sz w:val="22"/>
          <w:szCs w:val="22"/>
        </w:rPr>
        <w:t>ve svém hospod</w:t>
      </w:r>
      <w:r w:rsidR="004E1157">
        <w:rPr>
          <w:sz w:val="22"/>
          <w:szCs w:val="22"/>
        </w:rPr>
        <w:t>a</w:t>
      </w:r>
      <w:r w:rsidR="004E1157">
        <w:rPr>
          <w:sz w:val="22"/>
          <w:szCs w:val="22"/>
        </w:rPr>
        <w:t xml:space="preserve">ření </w:t>
      </w:r>
      <w:r w:rsidR="003F0AE2" w:rsidRPr="0068769C">
        <w:rPr>
          <w:sz w:val="22"/>
          <w:szCs w:val="22"/>
        </w:rPr>
        <w:t>ztrátu z rozdí</w:t>
      </w:r>
      <w:r w:rsidR="00A01D35">
        <w:rPr>
          <w:sz w:val="22"/>
          <w:szCs w:val="22"/>
        </w:rPr>
        <w:t xml:space="preserve">lu vykázaných výnosů a nákladů </w:t>
      </w:r>
      <w:r w:rsidR="003F0AE2" w:rsidRPr="0068769C">
        <w:rPr>
          <w:sz w:val="22"/>
          <w:szCs w:val="22"/>
        </w:rPr>
        <w:t>v</w:t>
      </w:r>
      <w:r w:rsidR="00A01D35">
        <w:rPr>
          <w:sz w:val="22"/>
          <w:szCs w:val="22"/>
        </w:rPr>
        <w:t>e</w:t>
      </w:r>
      <w:r w:rsidR="003F0AE2" w:rsidRPr="0068769C">
        <w:rPr>
          <w:sz w:val="22"/>
          <w:szCs w:val="22"/>
        </w:rPr>
        <w:t xml:space="preserve"> výši 275.972,83</w:t>
      </w:r>
      <w:r w:rsidR="003F0AE2">
        <w:rPr>
          <w:sz w:val="22"/>
          <w:szCs w:val="22"/>
        </w:rPr>
        <w:t> Kč</w:t>
      </w:r>
      <w:r w:rsidR="003F0AE2" w:rsidRPr="0068769C">
        <w:rPr>
          <w:sz w:val="22"/>
          <w:szCs w:val="22"/>
        </w:rPr>
        <w:t>.</w:t>
      </w:r>
      <w:r w:rsidR="003F0AE2">
        <w:rPr>
          <w:sz w:val="22"/>
          <w:szCs w:val="22"/>
        </w:rPr>
        <w:t xml:space="preserve"> </w:t>
      </w:r>
    </w:p>
    <w:p w:rsidR="00A5796B" w:rsidRPr="0068769C" w:rsidRDefault="00A5796B" w:rsidP="00A5796B">
      <w:pPr>
        <w:autoSpaceDE w:val="0"/>
        <w:autoSpaceDN w:val="0"/>
        <w:adjustRightInd w:val="0"/>
        <w:jc w:val="both"/>
        <w:rPr>
          <w:sz w:val="22"/>
          <w:szCs w:val="22"/>
        </w:rPr>
      </w:pPr>
    </w:p>
    <w:p w:rsidR="00A5796B" w:rsidRPr="0068769C" w:rsidRDefault="00A5796B" w:rsidP="00A5796B">
      <w:pPr>
        <w:autoSpaceDE w:val="0"/>
        <w:autoSpaceDN w:val="0"/>
        <w:adjustRightInd w:val="0"/>
        <w:jc w:val="both"/>
        <w:rPr>
          <w:sz w:val="22"/>
          <w:szCs w:val="22"/>
        </w:rPr>
      </w:pPr>
      <w:r w:rsidRPr="0068769C">
        <w:rPr>
          <w:sz w:val="22"/>
          <w:szCs w:val="22"/>
        </w:rPr>
        <w:t>Kromě hlavní obecně prospěšné činnosti realizuje společnost i doplňkovou činnost, která je realizov</w:t>
      </w:r>
      <w:r w:rsidRPr="0068769C">
        <w:rPr>
          <w:sz w:val="22"/>
          <w:szCs w:val="22"/>
        </w:rPr>
        <w:t>á</w:t>
      </w:r>
      <w:r w:rsidRPr="0068769C">
        <w:rPr>
          <w:sz w:val="22"/>
          <w:szCs w:val="22"/>
        </w:rPr>
        <w:t>na v přímé souvislosti s činností hlavní a přispívá k získávání doplňkových zdrojů financování činnosti hlavní.</w:t>
      </w:r>
      <w:r w:rsidR="003F0AE2" w:rsidRPr="003F0AE2">
        <w:rPr>
          <w:sz w:val="22"/>
          <w:szCs w:val="22"/>
        </w:rPr>
        <w:t xml:space="preserve"> </w:t>
      </w:r>
      <w:r w:rsidR="003F0AE2" w:rsidRPr="0068769C">
        <w:rPr>
          <w:sz w:val="22"/>
          <w:szCs w:val="22"/>
        </w:rPr>
        <w:t>Z doplňkové činnosti byl vykázán zisk ve výši 14.213,36</w:t>
      </w:r>
      <w:r w:rsidR="003F0AE2">
        <w:rPr>
          <w:sz w:val="22"/>
          <w:szCs w:val="22"/>
        </w:rPr>
        <w:t> Kč</w:t>
      </w:r>
      <w:r w:rsidR="003F0AE2" w:rsidRPr="0068769C">
        <w:rPr>
          <w:sz w:val="22"/>
          <w:szCs w:val="22"/>
        </w:rPr>
        <w:t>.</w:t>
      </w:r>
    </w:p>
    <w:p w:rsidR="00A5796B" w:rsidRPr="0068769C" w:rsidRDefault="00A5796B" w:rsidP="00A5796B">
      <w:pPr>
        <w:autoSpaceDE w:val="0"/>
        <w:autoSpaceDN w:val="0"/>
        <w:adjustRightInd w:val="0"/>
        <w:jc w:val="both"/>
        <w:rPr>
          <w:sz w:val="22"/>
          <w:szCs w:val="22"/>
        </w:rPr>
      </w:pPr>
    </w:p>
    <w:p w:rsidR="00A5796B" w:rsidRPr="0068769C" w:rsidRDefault="00A5796B" w:rsidP="00A5796B">
      <w:pPr>
        <w:autoSpaceDE w:val="0"/>
        <w:autoSpaceDN w:val="0"/>
        <w:adjustRightInd w:val="0"/>
        <w:jc w:val="both"/>
        <w:rPr>
          <w:sz w:val="22"/>
          <w:szCs w:val="22"/>
        </w:rPr>
      </w:pPr>
      <w:r w:rsidRPr="0068769C">
        <w:rPr>
          <w:sz w:val="22"/>
          <w:szCs w:val="22"/>
        </w:rPr>
        <w:t>Je proto navrhováno, aby vykázaný zisk z doplňkové činnosti byl v plné výši 14.213,36</w:t>
      </w:r>
      <w:r w:rsidR="005E1108">
        <w:rPr>
          <w:sz w:val="22"/>
          <w:szCs w:val="22"/>
        </w:rPr>
        <w:t> Kč</w:t>
      </w:r>
      <w:r w:rsidRPr="0068769C">
        <w:rPr>
          <w:sz w:val="22"/>
          <w:szCs w:val="22"/>
        </w:rPr>
        <w:t xml:space="preserve"> převeden do rezervního fondu, a aby ztráta z hlavní činnosti ve výši 275.972,83</w:t>
      </w:r>
      <w:r w:rsidR="005E1108">
        <w:rPr>
          <w:sz w:val="22"/>
          <w:szCs w:val="22"/>
        </w:rPr>
        <w:t> Kč</w:t>
      </w:r>
      <w:r w:rsidRPr="0068769C">
        <w:rPr>
          <w:sz w:val="22"/>
          <w:szCs w:val="22"/>
        </w:rPr>
        <w:t xml:space="preserve"> byla pokryta z rezervního fondu společnosti vytvořeného z přebytku hospodaření v minulosti, jakož i z přebytku z hospodaření v roce 2012.</w:t>
      </w:r>
    </w:p>
    <w:p w:rsidR="00A5796B" w:rsidRPr="00F01FDC" w:rsidRDefault="00F01FDC" w:rsidP="00A5796B">
      <w:pPr>
        <w:autoSpaceDE w:val="0"/>
        <w:autoSpaceDN w:val="0"/>
        <w:adjustRightInd w:val="0"/>
        <w:jc w:val="both"/>
        <w:rPr>
          <w:b/>
          <w:i/>
          <w:sz w:val="22"/>
          <w:szCs w:val="22"/>
          <w:u w:val="single"/>
        </w:rPr>
      </w:pPr>
      <w:r w:rsidRPr="00F01FDC">
        <w:rPr>
          <w:b/>
          <w:i/>
          <w:sz w:val="22"/>
          <w:szCs w:val="22"/>
          <w:u w:val="single"/>
        </w:rPr>
        <w:t>Z</w:t>
      </w:r>
      <w:r w:rsidR="00A5796B" w:rsidRPr="00F01FDC">
        <w:rPr>
          <w:b/>
          <w:i/>
          <w:sz w:val="22"/>
          <w:szCs w:val="22"/>
          <w:u w:val="single"/>
        </w:rPr>
        <w:t>ávazek vyplývající z předpisu odvodu za porušení rozpočtové kázně ve výši 1.070.841</w:t>
      </w:r>
      <w:r w:rsidR="005E1108" w:rsidRPr="00F01FDC">
        <w:rPr>
          <w:b/>
          <w:i/>
          <w:sz w:val="22"/>
          <w:szCs w:val="22"/>
          <w:u w:val="single"/>
        </w:rPr>
        <w:t> Kč</w:t>
      </w:r>
      <w:r w:rsidR="00A5796B" w:rsidRPr="00F01FDC">
        <w:rPr>
          <w:b/>
          <w:i/>
          <w:sz w:val="22"/>
          <w:szCs w:val="22"/>
          <w:u w:val="single"/>
        </w:rPr>
        <w:t>,</w:t>
      </w:r>
      <w:r w:rsidR="000D7963" w:rsidRPr="00F01FDC">
        <w:rPr>
          <w:b/>
          <w:i/>
          <w:sz w:val="22"/>
          <w:szCs w:val="22"/>
          <w:u w:val="single"/>
        </w:rPr>
        <w:t xml:space="preserve"> navrhuje organizace řešit a vypořádat po dohodě se zřizovatelem</w:t>
      </w:r>
      <w:r w:rsidR="00166614" w:rsidRPr="00F01FDC">
        <w:rPr>
          <w:b/>
          <w:i/>
          <w:sz w:val="22"/>
          <w:szCs w:val="22"/>
          <w:u w:val="single"/>
        </w:rPr>
        <w:t>.</w:t>
      </w:r>
    </w:p>
    <w:p w:rsidR="00A5796B" w:rsidRDefault="00A5796B" w:rsidP="00A5796B">
      <w:pPr>
        <w:rPr>
          <w:b/>
          <w:sz w:val="22"/>
          <w:szCs w:val="22"/>
          <w:u w:val="single"/>
        </w:rPr>
      </w:pPr>
    </w:p>
    <w:p w:rsidR="00797F6F" w:rsidRDefault="00797F6F" w:rsidP="00797F6F">
      <w:pPr>
        <w:pStyle w:val="Nadpis3"/>
      </w:pPr>
      <w:bookmarkStart w:id="53" w:name="_Toc385875232"/>
      <w:r>
        <w:t xml:space="preserve">Nadační fond Pragae Quinta </w:t>
      </w:r>
      <w:r w:rsidR="003D68F8">
        <w:t>R</w:t>
      </w:r>
      <w:r>
        <w:t>egione</w:t>
      </w:r>
      <w:bookmarkEnd w:id="53"/>
    </w:p>
    <w:p w:rsidR="00853488" w:rsidRDefault="007C640C" w:rsidP="00797F6F">
      <w:pPr>
        <w:jc w:val="both"/>
        <w:rPr>
          <w:sz w:val="22"/>
          <w:szCs w:val="22"/>
          <w:shd w:val="clear" w:color="auto" w:fill="FFFFFF"/>
        </w:rPr>
      </w:pPr>
      <w:r>
        <w:rPr>
          <w:sz w:val="22"/>
          <w:szCs w:val="22"/>
          <w:shd w:val="clear" w:color="auto" w:fill="FFFFFF"/>
        </w:rPr>
        <w:t xml:space="preserve">Nadační fond byl založen </w:t>
      </w:r>
      <w:r w:rsidR="00D55778" w:rsidRPr="00F20418">
        <w:rPr>
          <w:sz w:val="22"/>
          <w:szCs w:val="22"/>
        </w:rPr>
        <w:t>15.</w:t>
      </w:r>
      <w:r w:rsidR="00D55778">
        <w:rPr>
          <w:sz w:val="22"/>
          <w:szCs w:val="22"/>
        </w:rPr>
        <w:t xml:space="preserve"> </w:t>
      </w:r>
      <w:r w:rsidR="00D55778" w:rsidRPr="00F20418">
        <w:rPr>
          <w:sz w:val="22"/>
          <w:szCs w:val="22"/>
        </w:rPr>
        <w:t>11.</w:t>
      </w:r>
      <w:r w:rsidR="00D55778">
        <w:rPr>
          <w:sz w:val="22"/>
          <w:szCs w:val="22"/>
        </w:rPr>
        <w:t xml:space="preserve"> </w:t>
      </w:r>
      <w:r>
        <w:rPr>
          <w:sz w:val="22"/>
          <w:szCs w:val="22"/>
          <w:shd w:val="clear" w:color="auto" w:fill="FFFFFF"/>
        </w:rPr>
        <w:t>20</w:t>
      </w:r>
      <w:r w:rsidR="00E84292">
        <w:rPr>
          <w:sz w:val="22"/>
          <w:szCs w:val="22"/>
          <w:shd w:val="clear" w:color="auto" w:fill="FFFFFF"/>
        </w:rPr>
        <w:t>11</w:t>
      </w:r>
      <w:r>
        <w:rPr>
          <w:sz w:val="22"/>
          <w:szCs w:val="22"/>
          <w:shd w:val="clear" w:color="auto" w:fill="FFFFFF"/>
        </w:rPr>
        <w:t xml:space="preserve"> a p</w:t>
      </w:r>
      <w:r w:rsidR="00797F6F">
        <w:rPr>
          <w:sz w:val="22"/>
          <w:szCs w:val="22"/>
          <w:shd w:val="clear" w:color="auto" w:fill="FFFFFF"/>
        </w:rPr>
        <w:t xml:space="preserve">odle Statutu se fond </w:t>
      </w:r>
      <w:r w:rsidR="00797F6F" w:rsidRPr="00797F6F">
        <w:rPr>
          <w:sz w:val="22"/>
          <w:szCs w:val="22"/>
          <w:shd w:val="clear" w:color="auto" w:fill="FFFFFF"/>
        </w:rPr>
        <w:t>orientuje na ochranu životního prostř</w:t>
      </w:r>
      <w:r w:rsidR="00797F6F" w:rsidRPr="00797F6F">
        <w:rPr>
          <w:sz w:val="22"/>
          <w:szCs w:val="22"/>
          <w:shd w:val="clear" w:color="auto" w:fill="FFFFFF"/>
        </w:rPr>
        <w:t>e</w:t>
      </w:r>
      <w:r w:rsidR="00797F6F" w:rsidRPr="00797F6F">
        <w:rPr>
          <w:sz w:val="22"/>
          <w:szCs w:val="22"/>
          <w:shd w:val="clear" w:color="auto" w:fill="FFFFFF"/>
        </w:rPr>
        <w:t>dí, podporu sociálních a kulturních projektů, ochranu kulturních památek a tradic, podporu vědy, vzd</w:t>
      </w:r>
      <w:r w:rsidR="00797F6F" w:rsidRPr="00797F6F">
        <w:rPr>
          <w:sz w:val="22"/>
          <w:szCs w:val="22"/>
          <w:shd w:val="clear" w:color="auto" w:fill="FFFFFF"/>
        </w:rPr>
        <w:t>ě</w:t>
      </w:r>
      <w:r w:rsidR="00797F6F" w:rsidRPr="00797F6F">
        <w:rPr>
          <w:sz w:val="22"/>
          <w:szCs w:val="22"/>
          <w:shd w:val="clear" w:color="auto" w:fill="FFFFFF"/>
        </w:rPr>
        <w:t>lávání, tělovýchovy a sportu a na podporu rozvoje a budování infrastruktury a</w:t>
      </w:r>
      <w:r w:rsidR="00797F6F">
        <w:rPr>
          <w:sz w:val="22"/>
          <w:szCs w:val="22"/>
          <w:shd w:val="clear" w:color="auto" w:fill="FFFFFF"/>
        </w:rPr>
        <w:t xml:space="preserve"> občanské vybavenosti na městské části</w:t>
      </w:r>
      <w:r w:rsidR="00797F6F" w:rsidRPr="00797F6F">
        <w:rPr>
          <w:sz w:val="22"/>
          <w:szCs w:val="22"/>
          <w:shd w:val="clear" w:color="auto" w:fill="FFFFFF"/>
        </w:rPr>
        <w:t>.</w:t>
      </w:r>
      <w:r w:rsidR="004A1346">
        <w:rPr>
          <w:sz w:val="22"/>
          <w:szCs w:val="22"/>
          <w:shd w:val="clear" w:color="auto" w:fill="FFFFFF"/>
        </w:rPr>
        <w:t xml:space="preserve"> Městská část vložila do fondu vklad ve výši 500 tis. Kč. </w:t>
      </w:r>
      <w:r w:rsidR="00EB510F">
        <w:rPr>
          <w:sz w:val="22"/>
          <w:szCs w:val="22"/>
          <w:shd w:val="clear" w:color="auto" w:fill="FFFFFF"/>
        </w:rPr>
        <w:t xml:space="preserve">Protože krátce po zahájení činnosti fondu nebyl ještě zřízen bankovní účet, část finančních prostředků od dárců byla směrována na účet městské </w:t>
      </w:r>
      <w:r w:rsidR="00853488">
        <w:rPr>
          <w:sz w:val="22"/>
          <w:szCs w:val="22"/>
          <w:shd w:val="clear" w:color="auto" w:fill="FFFFFF"/>
        </w:rPr>
        <w:t>části</w:t>
      </w:r>
      <w:r w:rsidR="00EB510F">
        <w:rPr>
          <w:sz w:val="22"/>
          <w:szCs w:val="22"/>
          <w:shd w:val="clear" w:color="auto" w:fill="FFFFFF"/>
        </w:rPr>
        <w:t>. V roce 2013, po doložení smluv s</w:t>
      </w:r>
      <w:r w:rsidR="00853488">
        <w:rPr>
          <w:sz w:val="22"/>
          <w:szCs w:val="22"/>
          <w:shd w:val="clear" w:color="auto" w:fill="FFFFFF"/>
        </w:rPr>
        <w:t> </w:t>
      </w:r>
      <w:r w:rsidR="00EB510F">
        <w:rPr>
          <w:sz w:val="22"/>
          <w:szCs w:val="22"/>
          <w:shd w:val="clear" w:color="auto" w:fill="FFFFFF"/>
        </w:rPr>
        <w:t>dárci</w:t>
      </w:r>
      <w:r w:rsidR="00853488">
        <w:rPr>
          <w:sz w:val="22"/>
          <w:szCs w:val="22"/>
          <w:shd w:val="clear" w:color="auto" w:fill="FFFFFF"/>
        </w:rPr>
        <w:t>,</w:t>
      </w:r>
      <w:r w:rsidR="00EB510F">
        <w:rPr>
          <w:sz w:val="22"/>
          <w:szCs w:val="22"/>
          <w:shd w:val="clear" w:color="auto" w:fill="FFFFFF"/>
        </w:rPr>
        <w:t xml:space="preserve"> </w:t>
      </w:r>
      <w:r w:rsidR="00853488">
        <w:rPr>
          <w:sz w:val="22"/>
          <w:szCs w:val="22"/>
          <w:shd w:val="clear" w:color="auto" w:fill="FFFFFF"/>
        </w:rPr>
        <w:t>byly tyto prostředky ve výši 175</w:t>
      </w:r>
      <w:r w:rsidR="0066686B">
        <w:rPr>
          <w:sz w:val="22"/>
          <w:szCs w:val="22"/>
          <w:shd w:val="clear" w:color="auto" w:fill="FFFFFF"/>
        </w:rPr>
        <w:t>.</w:t>
      </w:r>
      <w:r w:rsidR="00B605DA">
        <w:rPr>
          <w:sz w:val="22"/>
          <w:szCs w:val="22"/>
        </w:rPr>
        <w:t>173,50 </w:t>
      </w:r>
      <w:r w:rsidR="0066686B">
        <w:rPr>
          <w:sz w:val="22"/>
          <w:szCs w:val="22"/>
          <w:shd w:val="clear" w:color="auto" w:fill="FFFFFF"/>
        </w:rPr>
        <w:t xml:space="preserve"> Kč převedeny na účet fondu.</w:t>
      </w:r>
    </w:p>
    <w:p w:rsidR="00797F6F" w:rsidRPr="00797F6F" w:rsidRDefault="004A1346" w:rsidP="00797F6F">
      <w:pPr>
        <w:jc w:val="both"/>
        <w:rPr>
          <w:sz w:val="22"/>
          <w:szCs w:val="22"/>
          <w:shd w:val="clear" w:color="auto" w:fill="FFFFFF"/>
        </w:rPr>
      </w:pPr>
      <w:r>
        <w:rPr>
          <w:sz w:val="22"/>
          <w:szCs w:val="22"/>
          <w:shd w:val="clear" w:color="auto" w:fill="FFFFFF"/>
        </w:rPr>
        <w:t>Fond přijímá další finanční částky od různých dárců</w:t>
      </w:r>
      <w:r w:rsidR="003F0AE2">
        <w:rPr>
          <w:sz w:val="22"/>
          <w:szCs w:val="22"/>
          <w:shd w:val="clear" w:color="auto" w:fill="FFFFFF"/>
        </w:rPr>
        <w:t xml:space="preserve"> a podporuje projekty na městské části. V </w:t>
      </w:r>
      <w:r w:rsidR="00CD7F4C">
        <w:rPr>
          <w:sz w:val="22"/>
          <w:szCs w:val="22"/>
          <w:shd w:val="clear" w:color="auto" w:fill="FFFFFF"/>
        </w:rPr>
        <w:t xml:space="preserve">roce 2013 byly zřízeny webové stránky a v prosinci </w:t>
      </w:r>
      <w:proofErr w:type="gramStart"/>
      <w:r w:rsidR="00CD7F4C">
        <w:rPr>
          <w:sz w:val="22"/>
          <w:szCs w:val="22"/>
          <w:shd w:val="clear" w:color="auto" w:fill="FFFFFF"/>
        </w:rPr>
        <w:t>byly organizována</w:t>
      </w:r>
      <w:proofErr w:type="gramEnd"/>
      <w:r w:rsidR="00CD7F4C">
        <w:rPr>
          <w:sz w:val="22"/>
          <w:szCs w:val="22"/>
          <w:shd w:val="clear" w:color="auto" w:fill="FFFFFF"/>
        </w:rPr>
        <w:t xml:space="preserve"> nadační večeře, kde byl předán o</w:t>
      </w:r>
      <w:r w:rsidR="00CD7F4C">
        <w:rPr>
          <w:sz w:val="22"/>
          <w:szCs w:val="22"/>
          <w:shd w:val="clear" w:color="auto" w:fill="FFFFFF"/>
        </w:rPr>
        <w:t>b</w:t>
      </w:r>
      <w:r w:rsidR="00CD7F4C">
        <w:rPr>
          <w:sz w:val="22"/>
          <w:szCs w:val="22"/>
          <w:shd w:val="clear" w:color="auto" w:fill="FFFFFF"/>
        </w:rPr>
        <w:t xml:space="preserve">čanskému sdružení MDA RIDE šek na 150 tis. Kč. Fond zřídil transparentní </w:t>
      </w:r>
      <w:proofErr w:type="gramStart"/>
      <w:r w:rsidR="00CD7F4C">
        <w:rPr>
          <w:sz w:val="22"/>
          <w:szCs w:val="22"/>
          <w:shd w:val="clear" w:color="auto" w:fill="FFFFFF"/>
        </w:rPr>
        <w:t xml:space="preserve">účet a </w:t>
      </w:r>
      <w:r w:rsidR="00B2188E">
        <w:rPr>
          <w:sz w:val="22"/>
          <w:szCs w:val="22"/>
          <w:shd w:val="clear" w:color="auto" w:fill="FFFFFF"/>
        </w:rPr>
        <w:t>tedy</w:t>
      </w:r>
      <w:proofErr w:type="gramEnd"/>
      <w:r w:rsidR="00B2188E">
        <w:rPr>
          <w:sz w:val="22"/>
          <w:szCs w:val="22"/>
          <w:shd w:val="clear" w:color="auto" w:fill="FFFFFF"/>
        </w:rPr>
        <w:t xml:space="preserve"> všechny f</w:t>
      </w:r>
      <w:r w:rsidR="00B2188E">
        <w:rPr>
          <w:sz w:val="22"/>
          <w:szCs w:val="22"/>
          <w:shd w:val="clear" w:color="auto" w:fill="FFFFFF"/>
        </w:rPr>
        <w:t>i</w:t>
      </w:r>
      <w:r w:rsidR="00B2188E">
        <w:rPr>
          <w:sz w:val="22"/>
          <w:szCs w:val="22"/>
          <w:shd w:val="clear" w:color="auto" w:fill="FFFFFF"/>
        </w:rPr>
        <w:t>nanční operace jsou vidět na webových stránkách fondu.</w:t>
      </w:r>
    </w:p>
    <w:p w:rsidR="00797F6F" w:rsidRDefault="00797F6F" w:rsidP="00EE39DC"/>
    <w:p w:rsidR="009E70E9" w:rsidRPr="009B5D38" w:rsidRDefault="0011008C" w:rsidP="00AA76C9">
      <w:pPr>
        <w:pStyle w:val="Nadpis2"/>
        <w:rPr>
          <w:rStyle w:val="Siln"/>
          <w:sz w:val="24"/>
        </w:rPr>
      </w:pPr>
      <w:bookmarkStart w:id="54" w:name="_Toc224964534"/>
      <w:bookmarkStart w:id="55" w:name="_Toc194288871"/>
      <w:bookmarkStart w:id="56" w:name="_Toc385875233"/>
      <w:r w:rsidRPr="00133AFB">
        <w:rPr>
          <w:rStyle w:val="Siln"/>
          <w:sz w:val="24"/>
        </w:rPr>
        <w:t>8</w:t>
      </w:r>
      <w:r w:rsidR="009E70E9" w:rsidRPr="00133AFB">
        <w:rPr>
          <w:rStyle w:val="Siln"/>
          <w:sz w:val="24"/>
        </w:rPr>
        <w:t>. V</w:t>
      </w:r>
      <w:r w:rsidR="00495CD6" w:rsidRPr="00133AFB">
        <w:rPr>
          <w:rStyle w:val="Siln"/>
          <w:sz w:val="24"/>
        </w:rPr>
        <w:t>yúčtování finančních vztahů</w:t>
      </w:r>
      <w:bookmarkEnd w:id="54"/>
      <w:bookmarkEnd w:id="55"/>
      <w:bookmarkEnd w:id="56"/>
    </w:p>
    <w:p w:rsidR="009E70E9" w:rsidRDefault="009E70E9" w:rsidP="009E70E9">
      <w:pPr>
        <w:pStyle w:val="Zkladntextodsazen"/>
        <w:ind w:firstLine="0"/>
        <w:rPr>
          <w:sz w:val="22"/>
          <w:szCs w:val="22"/>
        </w:rPr>
      </w:pPr>
      <w:r w:rsidRPr="00F20418">
        <w:rPr>
          <w:sz w:val="22"/>
          <w:szCs w:val="22"/>
        </w:rPr>
        <w:t xml:space="preserve">Součástí závěrečného účtu městské části je vyúčtování </w:t>
      </w:r>
      <w:r w:rsidR="00CC53B3" w:rsidRPr="00F20418">
        <w:rPr>
          <w:sz w:val="22"/>
          <w:szCs w:val="22"/>
        </w:rPr>
        <w:t>transferů</w:t>
      </w:r>
      <w:r w:rsidRPr="00F20418">
        <w:rPr>
          <w:sz w:val="22"/>
          <w:szCs w:val="22"/>
        </w:rPr>
        <w:t xml:space="preserve"> ze státního rozpočtu a od hlavního města, u kterých je tato povinnost stanovena. Obdobně postupují příspěvkové organizace zřízené městskou částí u příspěvků jim poskytnutých prostřednictvím městské části nebo přímo od ní a další organizace, kterým byly poskytnuty finanční prostředky v průběhu roku.</w:t>
      </w:r>
    </w:p>
    <w:p w:rsidR="00636529" w:rsidRDefault="00636529" w:rsidP="009E70E9">
      <w:pPr>
        <w:pStyle w:val="Zkladntextodsazen"/>
        <w:ind w:firstLine="0"/>
        <w:rPr>
          <w:sz w:val="22"/>
          <w:szCs w:val="22"/>
        </w:rPr>
      </w:pPr>
    </w:p>
    <w:p w:rsidR="00636529" w:rsidRPr="00636529" w:rsidRDefault="00636529" w:rsidP="009E70E9">
      <w:pPr>
        <w:pStyle w:val="Zkladntextodsazen"/>
        <w:ind w:firstLine="0"/>
        <w:rPr>
          <w:sz w:val="22"/>
          <w:szCs w:val="22"/>
        </w:rPr>
      </w:pPr>
      <w:r>
        <w:rPr>
          <w:sz w:val="22"/>
          <w:szCs w:val="22"/>
        </w:rPr>
        <w:t>Podrobný rozpis odvodů je uveden v příloze č. 13.</w:t>
      </w:r>
    </w:p>
    <w:p w:rsidR="00771A39" w:rsidRPr="00F20418" w:rsidRDefault="00771A39" w:rsidP="009E70E9">
      <w:pPr>
        <w:jc w:val="both"/>
        <w:rPr>
          <w:sz w:val="22"/>
          <w:szCs w:val="22"/>
        </w:rPr>
      </w:pPr>
    </w:p>
    <w:p w:rsidR="009E70E9" w:rsidRDefault="00BB7D6C" w:rsidP="00F013D1">
      <w:pPr>
        <w:pStyle w:val="Nadpis3"/>
      </w:pPr>
      <w:bookmarkStart w:id="57" w:name="_Toc385875234"/>
      <w:r w:rsidRPr="007C09F5">
        <w:t>Vyúčtování finančních vztahů ke státnímu rozpočtu a rozpočtu hl. m. Prahy</w:t>
      </w:r>
      <w:bookmarkEnd w:id="57"/>
    </w:p>
    <w:p w:rsidR="003D0BD9" w:rsidRDefault="003D0BD9" w:rsidP="003D0BD9">
      <w:pPr>
        <w:rPr>
          <w:sz w:val="22"/>
          <w:szCs w:val="22"/>
        </w:rPr>
      </w:pPr>
      <w:r w:rsidRPr="003D0BD9">
        <w:rPr>
          <w:sz w:val="22"/>
          <w:szCs w:val="22"/>
        </w:rPr>
        <w:t xml:space="preserve">Součástí závěrečného účtu jsou </w:t>
      </w:r>
      <w:r>
        <w:rPr>
          <w:sz w:val="22"/>
          <w:szCs w:val="22"/>
        </w:rPr>
        <w:t>též údaje o vypořádání finančních vztahů s orgány, institucemi a osta</w:t>
      </w:r>
      <w:r>
        <w:rPr>
          <w:sz w:val="22"/>
          <w:szCs w:val="22"/>
        </w:rPr>
        <w:t>t</w:t>
      </w:r>
      <w:r>
        <w:rPr>
          <w:sz w:val="22"/>
          <w:szCs w:val="22"/>
        </w:rPr>
        <w:t>ními organizacemi. Vyúčtování finančních vztahů vůči hlavnímu městu a státnímu rozpočtu bylo pr</w:t>
      </w:r>
      <w:r>
        <w:rPr>
          <w:sz w:val="22"/>
          <w:szCs w:val="22"/>
        </w:rPr>
        <w:t>o</w:t>
      </w:r>
      <w:r>
        <w:rPr>
          <w:sz w:val="22"/>
          <w:szCs w:val="22"/>
        </w:rPr>
        <w:t xml:space="preserve">jednáno a odsouhlaseno s hlavním městem Prahou dne </w:t>
      </w:r>
      <w:r w:rsidR="0084675C">
        <w:rPr>
          <w:sz w:val="22"/>
          <w:szCs w:val="22"/>
        </w:rPr>
        <w:t>18</w:t>
      </w:r>
      <w:r>
        <w:rPr>
          <w:sz w:val="22"/>
          <w:szCs w:val="22"/>
        </w:rPr>
        <w:t>.</w:t>
      </w:r>
      <w:r w:rsidR="0084675C">
        <w:rPr>
          <w:sz w:val="22"/>
          <w:szCs w:val="22"/>
        </w:rPr>
        <w:t xml:space="preserve"> </w:t>
      </w:r>
      <w:r>
        <w:rPr>
          <w:sz w:val="22"/>
          <w:szCs w:val="22"/>
        </w:rPr>
        <w:t>března</w:t>
      </w:r>
      <w:r w:rsidR="0084675C">
        <w:rPr>
          <w:sz w:val="22"/>
          <w:szCs w:val="22"/>
        </w:rPr>
        <w:t xml:space="preserve"> 2014</w:t>
      </w:r>
      <w:r>
        <w:rPr>
          <w:sz w:val="22"/>
          <w:szCs w:val="22"/>
        </w:rPr>
        <w:t>.</w:t>
      </w:r>
      <w:r w:rsidR="0084675C">
        <w:rPr>
          <w:sz w:val="22"/>
          <w:szCs w:val="22"/>
        </w:rPr>
        <w:t xml:space="preserve"> Přehled o všech operacích je uveden v příloze č. 13.</w:t>
      </w:r>
    </w:p>
    <w:p w:rsidR="003D0BD9" w:rsidRPr="003D0BD9" w:rsidRDefault="003D0BD9" w:rsidP="003D0BD9">
      <w:pPr>
        <w:rPr>
          <w:sz w:val="22"/>
          <w:szCs w:val="22"/>
        </w:rPr>
      </w:pPr>
    </w:p>
    <w:p w:rsidR="00FA21DC" w:rsidRPr="00FA21DC" w:rsidRDefault="00FA21DC" w:rsidP="00FA21DC">
      <w:pPr>
        <w:rPr>
          <w:b/>
        </w:rPr>
      </w:pPr>
      <w:r w:rsidRPr="00FA21DC">
        <w:rPr>
          <w:b/>
        </w:rPr>
        <w:t>Odvody do státního rozpočtu a rozpočtu hlavního města Prahy</w:t>
      </w:r>
    </w:p>
    <w:p w:rsidR="00636529" w:rsidRDefault="00DF57EA" w:rsidP="00DF57EA">
      <w:pPr>
        <w:jc w:val="both"/>
        <w:rPr>
          <w:sz w:val="22"/>
          <w:szCs w:val="22"/>
        </w:rPr>
      </w:pPr>
      <w:r w:rsidRPr="00F73AC5">
        <w:rPr>
          <w:sz w:val="22"/>
          <w:szCs w:val="22"/>
        </w:rPr>
        <w:t>Za rok 201</w:t>
      </w:r>
      <w:r w:rsidR="0059300E">
        <w:rPr>
          <w:sz w:val="22"/>
          <w:szCs w:val="22"/>
        </w:rPr>
        <w:t>3</w:t>
      </w:r>
      <w:r w:rsidRPr="00F73AC5">
        <w:rPr>
          <w:sz w:val="22"/>
          <w:szCs w:val="22"/>
        </w:rPr>
        <w:t xml:space="preserve"> bylo celkem přijato </w:t>
      </w:r>
      <w:r w:rsidRPr="00B2188E">
        <w:rPr>
          <w:b/>
          <w:i/>
          <w:sz w:val="22"/>
          <w:szCs w:val="22"/>
        </w:rPr>
        <w:t>ze státního rozpočtu</w:t>
      </w:r>
      <w:r w:rsidRPr="00F73AC5">
        <w:rPr>
          <w:sz w:val="22"/>
          <w:szCs w:val="22"/>
        </w:rPr>
        <w:t xml:space="preserve"> </w:t>
      </w:r>
      <w:r w:rsidR="00D772ED">
        <w:rPr>
          <w:sz w:val="22"/>
          <w:szCs w:val="22"/>
        </w:rPr>
        <w:t>6</w:t>
      </w:r>
      <w:r w:rsidR="00133AFB">
        <w:rPr>
          <w:sz w:val="22"/>
          <w:szCs w:val="22"/>
        </w:rPr>
        <w:t>1.009,4</w:t>
      </w:r>
      <w:r w:rsidRPr="00F73AC5">
        <w:rPr>
          <w:sz w:val="22"/>
          <w:szCs w:val="22"/>
        </w:rPr>
        <w:t xml:space="preserve"> </w:t>
      </w:r>
      <w:r w:rsidR="005E1108">
        <w:rPr>
          <w:sz w:val="22"/>
          <w:szCs w:val="22"/>
        </w:rPr>
        <w:t>tis. Kč</w:t>
      </w:r>
      <w:r w:rsidRPr="00F73AC5">
        <w:rPr>
          <w:sz w:val="22"/>
          <w:szCs w:val="22"/>
        </w:rPr>
        <w:t xml:space="preserve"> (v rámci souhrnného dotačního vztahu celkem </w:t>
      </w:r>
      <w:r w:rsidR="00D772ED">
        <w:rPr>
          <w:sz w:val="22"/>
          <w:szCs w:val="22"/>
        </w:rPr>
        <w:t>46.393</w:t>
      </w:r>
      <w:r w:rsidRPr="00F73AC5">
        <w:rPr>
          <w:sz w:val="22"/>
          <w:szCs w:val="22"/>
        </w:rPr>
        <w:t xml:space="preserve"> </w:t>
      </w:r>
      <w:r w:rsidR="005E1108">
        <w:rPr>
          <w:sz w:val="22"/>
          <w:szCs w:val="22"/>
        </w:rPr>
        <w:t>tis. Kč</w:t>
      </w:r>
      <w:r w:rsidRPr="00F73AC5">
        <w:rPr>
          <w:sz w:val="22"/>
          <w:szCs w:val="22"/>
        </w:rPr>
        <w:t xml:space="preserve"> a účelové transfery ve výši </w:t>
      </w:r>
      <w:r w:rsidR="00D772ED">
        <w:rPr>
          <w:sz w:val="22"/>
          <w:szCs w:val="22"/>
        </w:rPr>
        <w:t>1</w:t>
      </w:r>
      <w:r w:rsidR="00133AFB">
        <w:rPr>
          <w:sz w:val="22"/>
          <w:szCs w:val="22"/>
        </w:rPr>
        <w:t>4.616,4</w:t>
      </w:r>
      <w:r w:rsidRPr="00F73AC5">
        <w:rPr>
          <w:sz w:val="22"/>
          <w:szCs w:val="22"/>
        </w:rPr>
        <w:t xml:space="preserve"> </w:t>
      </w:r>
      <w:r w:rsidR="005E1108">
        <w:rPr>
          <w:sz w:val="22"/>
          <w:szCs w:val="22"/>
        </w:rPr>
        <w:t>tis. Kč</w:t>
      </w:r>
      <w:r w:rsidRPr="00F73AC5">
        <w:rPr>
          <w:sz w:val="22"/>
          <w:szCs w:val="22"/>
        </w:rPr>
        <w:t xml:space="preserve">). </w:t>
      </w:r>
    </w:p>
    <w:p w:rsidR="00636529" w:rsidRDefault="00636529" w:rsidP="00DF57EA">
      <w:pPr>
        <w:jc w:val="both"/>
        <w:rPr>
          <w:sz w:val="22"/>
          <w:szCs w:val="22"/>
        </w:rPr>
      </w:pPr>
      <w:r>
        <w:rPr>
          <w:sz w:val="22"/>
          <w:szCs w:val="22"/>
        </w:rPr>
        <w:t xml:space="preserve">Městská část odvede do státního rozpočtu částku </w:t>
      </w:r>
      <w:r w:rsidRPr="00636529">
        <w:rPr>
          <w:sz w:val="22"/>
          <w:szCs w:val="22"/>
        </w:rPr>
        <w:t>76 982 Kč z dotace na výkon sociálně právní ochrany dětí</w:t>
      </w:r>
      <w:r>
        <w:rPr>
          <w:sz w:val="22"/>
          <w:szCs w:val="22"/>
        </w:rPr>
        <w:t>.</w:t>
      </w:r>
    </w:p>
    <w:p w:rsidR="00636529" w:rsidRDefault="00636529" w:rsidP="00DF57EA">
      <w:pPr>
        <w:jc w:val="both"/>
        <w:rPr>
          <w:sz w:val="22"/>
          <w:szCs w:val="22"/>
        </w:rPr>
      </w:pPr>
    </w:p>
    <w:p w:rsidR="00DF57EA" w:rsidRDefault="00DF57EA" w:rsidP="00DF57EA">
      <w:pPr>
        <w:jc w:val="both"/>
        <w:rPr>
          <w:sz w:val="22"/>
          <w:szCs w:val="22"/>
        </w:rPr>
      </w:pPr>
      <w:r w:rsidRPr="00B2188E">
        <w:rPr>
          <w:b/>
          <w:i/>
          <w:sz w:val="22"/>
          <w:szCs w:val="22"/>
        </w:rPr>
        <w:t>Z rozpočtu hl. m. Prahy</w:t>
      </w:r>
      <w:r w:rsidRPr="00F73AC5">
        <w:rPr>
          <w:sz w:val="22"/>
          <w:szCs w:val="22"/>
        </w:rPr>
        <w:t xml:space="preserve"> bylo celkem </w:t>
      </w:r>
      <w:r w:rsidRPr="00133AFB">
        <w:rPr>
          <w:sz w:val="22"/>
          <w:szCs w:val="22"/>
        </w:rPr>
        <w:t xml:space="preserve">přijato </w:t>
      </w:r>
      <w:r w:rsidR="003034B9" w:rsidRPr="00133AFB">
        <w:rPr>
          <w:sz w:val="22"/>
          <w:szCs w:val="22"/>
        </w:rPr>
        <w:t>308.734,</w:t>
      </w:r>
      <w:r w:rsidR="00133AFB" w:rsidRPr="00133AFB">
        <w:rPr>
          <w:sz w:val="22"/>
          <w:szCs w:val="22"/>
        </w:rPr>
        <w:t>8</w:t>
      </w:r>
      <w:r w:rsidRPr="00133AFB">
        <w:rPr>
          <w:sz w:val="22"/>
          <w:szCs w:val="22"/>
        </w:rPr>
        <w:t xml:space="preserve"> </w:t>
      </w:r>
      <w:r w:rsidR="005E1108">
        <w:rPr>
          <w:sz w:val="22"/>
          <w:szCs w:val="22"/>
        </w:rPr>
        <w:t>tis. Kč</w:t>
      </w:r>
      <w:r w:rsidR="006C520D" w:rsidRPr="00133AFB">
        <w:rPr>
          <w:sz w:val="22"/>
          <w:szCs w:val="22"/>
        </w:rPr>
        <w:t xml:space="preserve"> (v</w:t>
      </w:r>
      <w:r w:rsidR="006C520D" w:rsidRPr="00F73AC5">
        <w:rPr>
          <w:sz w:val="22"/>
          <w:szCs w:val="22"/>
        </w:rPr>
        <w:t> rámci souhrnného dotačního transf</w:t>
      </w:r>
      <w:r w:rsidR="006C520D" w:rsidRPr="00F73AC5">
        <w:rPr>
          <w:sz w:val="22"/>
          <w:szCs w:val="22"/>
        </w:rPr>
        <w:t>e</w:t>
      </w:r>
      <w:r w:rsidR="006C520D" w:rsidRPr="00F73AC5">
        <w:rPr>
          <w:sz w:val="22"/>
          <w:szCs w:val="22"/>
        </w:rPr>
        <w:t xml:space="preserve">ru celkem </w:t>
      </w:r>
      <w:r w:rsidR="003034B9">
        <w:rPr>
          <w:sz w:val="22"/>
          <w:szCs w:val="22"/>
        </w:rPr>
        <w:t>194.786</w:t>
      </w:r>
      <w:r w:rsidR="00F73AC5" w:rsidRPr="00F73AC5">
        <w:rPr>
          <w:sz w:val="22"/>
          <w:szCs w:val="22"/>
        </w:rPr>
        <w:t xml:space="preserve"> </w:t>
      </w:r>
      <w:r w:rsidR="005E1108">
        <w:rPr>
          <w:sz w:val="22"/>
          <w:szCs w:val="22"/>
        </w:rPr>
        <w:t>tis. Kč</w:t>
      </w:r>
      <w:r w:rsidR="006C520D" w:rsidRPr="00F73AC5">
        <w:rPr>
          <w:sz w:val="22"/>
          <w:szCs w:val="22"/>
        </w:rPr>
        <w:t>,</w:t>
      </w:r>
      <w:r w:rsidR="004E4284" w:rsidRPr="00F73AC5">
        <w:rPr>
          <w:sz w:val="22"/>
          <w:szCs w:val="22"/>
        </w:rPr>
        <w:t xml:space="preserve"> </w:t>
      </w:r>
      <w:r w:rsidR="00E74F88" w:rsidRPr="00F73AC5">
        <w:rPr>
          <w:sz w:val="22"/>
          <w:szCs w:val="22"/>
        </w:rPr>
        <w:t xml:space="preserve">účelové transfery </w:t>
      </w:r>
      <w:r w:rsidR="00E74F88" w:rsidRPr="00F469CA">
        <w:rPr>
          <w:sz w:val="22"/>
          <w:szCs w:val="22"/>
        </w:rPr>
        <w:t>celkem</w:t>
      </w:r>
      <w:r w:rsidR="00FC02E3" w:rsidRPr="00F469CA">
        <w:rPr>
          <w:sz w:val="22"/>
          <w:szCs w:val="22"/>
        </w:rPr>
        <w:t xml:space="preserve"> </w:t>
      </w:r>
      <w:r w:rsidR="003034B9" w:rsidRPr="00F469CA">
        <w:rPr>
          <w:sz w:val="22"/>
          <w:szCs w:val="22"/>
        </w:rPr>
        <w:t>113.948,</w:t>
      </w:r>
      <w:r w:rsidR="00F469CA" w:rsidRPr="00F469CA">
        <w:rPr>
          <w:sz w:val="22"/>
          <w:szCs w:val="22"/>
        </w:rPr>
        <w:t>8</w:t>
      </w:r>
      <w:r w:rsidRPr="00F469CA">
        <w:rPr>
          <w:sz w:val="22"/>
          <w:szCs w:val="22"/>
        </w:rPr>
        <w:t xml:space="preserve"> </w:t>
      </w:r>
      <w:r w:rsidR="005E1108">
        <w:rPr>
          <w:sz w:val="22"/>
          <w:szCs w:val="22"/>
        </w:rPr>
        <w:t>tis. Kč</w:t>
      </w:r>
      <w:r w:rsidR="00666677" w:rsidRPr="00F469CA">
        <w:rPr>
          <w:sz w:val="22"/>
          <w:szCs w:val="22"/>
        </w:rPr>
        <w:t>)</w:t>
      </w:r>
      <w:r w:rsidR="004A5A1B" w:rsidRPr="00F469CA">
        <w:rPr>
          <w:sz w:val="22"/>
          <w:szCs w:val="22"/>
        </w:rPr>
        <w:t>.</w:t>
      </w:r>
      <w:r w:rsidR="004A5A1B" w:rsidRPr="00F73AC5">
        <w:rPr>
          <w:sz w:val="22"/>
          <w:szCs w:val="22"/>
        </w:rPr>
        <w:t xml:space="preserve"> Z celkové výše přijatých úč</w:t>
      </w:r>
      <w:r w:rsidR="004A5A1B" w:rsidRPr="00F73AC5">
        <w:rPr>
          <w:sz w:val="22"/>
          <w:szCs w:val="22"/>
        </w:rPr>
        <w:t>e</w:t>
      </w:r>
      <w:r w:rsidR="004A5A1B" w:rsidRPr="00F73AC5">
        <w:rPr>
          <w:sz w:val="22"/>
          <w:szCs w:val="22"/>
        </w:rPr>
        <w:t>lových transferů není předmětem finančního vypořádání za rok 201</w:t>
      </w:r>
      <w:r w:rsidR="003034B9">
        <w:rPr>
          <w:sz w:val="22"/>
          <w:szCs w:val="22"/>
        </w:rPr>
        <w:t>3</w:t>
      </w:r>
      <w:r w:rsidR="004A5A1B" w:rsidRPr="00F73AC5">
        <w:rPr>
          <w:sz w:val="22"/>
          <w:szCs w:val="22"/>
        </w:rPr>
        <w:t xml:space="preserve"> částka ve výši</w:t>
      </w:r>
      <w:r w:rsidR="00CC797A">
        <w:rPr>
          <w:sz w:val="22"/>
          <w:szCs w:val="22"/>
        </w:rPr>
        <w:t xml:space="preserve"> </w:t>
      </w:r>
      <w:r w:rsidR="00093EA0">
        <w:rPr>
          <w:sz w:val="22"/>
          <w:szCs w:val="22"/>
        </w:rPr>
        <w:t>83.130.259,54</w:t>
      </w:r>
      <w:r w:rsidR="005E1108">
        <w:rPr>
          <w:sz w:val="22"/>
          <w:szCs w:val="22"/>
        </w:rPr>
        <w:t> Kč</w:t>
      </w:r>
      <w:r w:rsidR="00B63BA9">
        <w:rPr>
          <w:sz w:val="22"/>
          <w:szCs w:val="22"/>
        </w:rPr>
        <w:t>, což je</w:t>
      </w:r>
      <w:r w:rsidR="004A5A1B" w:rsidRPr="00F73AC5">
        <w:rPr>
          <w:sz w:val="22"/>
          <w:szCs w:val="22"/>
        </w:rPr>
        <w:t xml:space="preserve"> vratka 100 % podílu na celkové daňové povinnosti hl. m. Prahy na dani z příjmů právnických osob za zdaňovací období r. 201</w:t>
      </w:r>
      <w:r w:rsidR="003034B9">
        <w:rPr>
          <w:sz w:val="22"/>
          <w:szCs w:val="22"/>
        </w:rPr>
        <w:t>2</w:t>
      </w:r>
      <w:r w:rsidR="00AD31CF">
        <w:rPr>
          <w:sz w:val="22"/>
          <w:szCs w:val="22"/>
        </w:rPr>
        <w:t xml:space="preserve"> a finanční prostředky</w:t>
      </w:r>
      <w:r w:rsidR="003A3658">
        <w:rPr>
          <w:sz w:val="22"/>
          <w:szCs w:val="22"/>
        </w:rPr>
        <w:t xml:space="preserve"> </w:t>
      </w:r>
      <w:r w:rsidR="00F73AC5">
        <w:rPr>
          <w:sz w:val="22"/>
          <w:szCs w:val="22"/>
        </w:rPr>
        <w:t xml:space="preserve">přijaté ve výši 50 % z výnosu </w:t>
      </w:r>
      <w:r w:rsidR="00636529">
        <w:rPr>
          <w:sz w:val="22"/>
          <w:szCs w:val="22"/>
        </w:rPr>
        <w:t>výherních hr</w:t>
      </w:r>
      <w:r w:rsidR="00636529">
        <w:rPr>
          <w:sz w:val="22"/>
          <w:szCs w:val="22"/>
        </w:rPr>
        <w:t>a</w:t>
      </w:r>
      <w:r w:rsidR="00636529">
        <w:rPr>
          <w:sz w:val="22"/>
          <w:szCs w:val="22"/>
        </w:rPr>
        <w:lastRenderedPageBreak/>
        <w:t>cích přístrojů a videoloterijních terminálů</w:t>
      </w:r>
      <w:r w:rsidR="00F73AC5">
        <w:rPr>
          <w:sz w:val="22"/>
          <w:szCs w:val="22"/>
        </w:rPr>
        <w:t xml:space="preserve"> </w:t>
      </w:r>
      <w:r w:rsidR="00F469CA">
        <w:rPr>
          <w:sz w:val="22"/>
          <w:szCs w:val="22"/>
        </w:rPr>
        <w:t>v roce 2013 v</w:t>
      </w:r>
      <w:r w:rsidR="00AD31CF">
        <w:rPr>
          <w:sz w:val="22"/>
          <w:szCs w:val="22"/>
        </w:rPr>
        <w:t xml:space="preserve"> celkové výši 23.249,6 </w:t>
      </w:r>
      <w:r w:rsidR="005E1108">
        <w:rPr>
          <w:sz w:val="22"/>
          <w:szCs w:val="22"/>
        </w:rPr>
        <w:t>tis. Kč</w:t>
      </w:r>
      <w:r w:rsidR="00AD31CF">
        <w:rPr>
          <w:sz w:val="22"/>
          <w:szCs w:val="22"/>
        </w:rPr>
        <w:t xml:space="preserve"> (vč</w:t>
      </w:r>
      <w:r w:rsidR="00636529">
        <w:rPr>
          <w:sz w:val="22"/>
          <w:szCs w:val="22"/>
        </w:rPr>
        <w:t>etně</w:t>
      </w:r>
      <w:r w:rsidR="00AD31CF">
        <w:rPr>
          <w:sz w:val="22"/>
          <w:szCs w:val="22"/>
        </w:rPr>
        <w:t xml:space="preserve"> částky 584 </w:t>
      </w:r>
      <w:r w:rsidR="005E1108">
        <w:rPr>
          <w:sz w:val="22"/>
          <w:szCs w:val="22"/>
        </w:rPr>
        <w:t>tis. Kč</w:t>
      </w:r>
      <w:r w:rsidR="00AD31CF">
        <w:rPr>
          <w:sz w:val="22"/>
          <w:szCs w:val="22"/>
        </w:rPr>
        <w:t xml:space="preserve">, přijaté v rámci </w:t>
      </w:r>
      <w:r w:rsidR="00B63BA9">
        <w:rPr>
          <w:sz w:val="22"/>
          <w:szCs w:val="22"/>
        </w:rPr>
        <w:t>finančního vypořádání</w:t>
      </w:r>
      <w:r w:rsidR="00AD31CF">
        <w:rPr>
          <w:sz w:val="22"/>
          <w:szCs w:val="22"/>
        </w:rPr>
        <w:t xml:space="preserve"> za rok 2012).</w:t>
      </w:r>
    </w:p>
    <w:p w:rsidR="00636529" w:rsidRPr="00F20418" w:rsidRDefault="00636529" w:rsidP="00DF57EA">
      <w:pPr>
        <w:jc w:val="both"/>
        <w:rPr>
          <w:sz w:val="22"/>
          <w:szCs w:val="22"/>
        </w:rPr>
      </w:pPr>
      <w:r>
        <w:rPr>
          <w:sz w:val="22"/>
          <w:szCs w:val="22"/>
        </w:rPr>
        <w:t>Městská část odvede do rozpočtu hlavního města celkem 180.570,50 Kč</w:t>
      </w:r>
      <w:r w:rsidR="00FA21DC">
        <w:rPr>
          <w:sz w:val="22"/>
          <w:szCs w:val="22"/>
        </w:rPr>
        <w:t xml:space="preserve"> z nedočerpaných dotací, část místního poplatků ze psů a za rekreační pobyt</w:t>
      </w:r>
      <w:r>
        <w:rPr>
          <w:sz w:val="22"/>
          <w:szCs w:val="22"/>
        </w:rPr>
        <w:t>.</w:t>
      </w:r>
    </w:p>
    <w:p w:rsidR="00DF57EA" w:rsidRDefault="00DF57EA" w:rsidP="009E70E9">
      <w:pPr>
        <w:rPr>
          <w:sz w:val="22"/>
          <w:szCs w:val="22"/>
        </w:rPr>
      </w:pPr>
    </w:p>
    <w:p w:rsidR="0098646D" w:rsidRPr="00636529" w:rsidRDefault="009E70E9" w:rsidP="00BA79B3">
      <w:pPr>
        <w:rPr>
          <w:b/>
          <w:i/>
          <w:sz w:val="22"/>
          <w:szCs w:val="22"/>
        </w:rPr>
      </w:pPr>
      <w:r w:rsidRPr="00636529">
        <w:rPr>
          <w:b/>
          <w:i/>
          <w:sz w:val="22"/>
          <w:szCs w:val="22"/>
        </w:rPr>
        <w:t xml:space="preserve">Městská část odvede při finančním vypořádání </w:t>
      </w:r>
      <w:r w:rsidR="00B63BA9">
        <w:rPr>
          <w:b/>
          <w:i/>
          <w:sz w:val="22"/>
          <w:szCs w:val="22"/>
        </w:rPr>
        <w:t xml:space="preserve">hlavnímu městu </w:t>
      </w:r>
      <w:r w:rsidRPr="00636529">
        <w:rPr>
          <w:b/>
          <w:i/>
          <w:sz w:val="22"/>
          <w:szCs w:val="22"/>
        </w:rPr>
        <w:t>celkem</w:t>
      </w:r>
      <w:r w:rsidR="00636529" w:rsidRPr="00636529">
        <w:rPr>
          <w:b/>
          <w:i/>
          <w:sz w:val="22"/>
          <w:szCs w:val="22"/>
        </w:rPr>
        <w:t xml:space="preserve"> </w:t>
      </w:r>
      <w:r w:rsidR="00D15892" w:rsidRPr="00636529">
        <w:rPr>
          <w:b/>
          <w:i/>
          <w:sz w:val="22"/>
          <w:szCs w:val="22"/>
        </w:rPr>
        <w:t>257.552,50</w:t>
      </w:r>
      <w:r w:rsidR="00636529">
        <w:rPr>
          <w:b/>
          <w:i/>
          <w:sz w:val="22"/>
          <w:szCs w:val="22"/>
        </w:rPr>
        <w:t xml:space="preserve"> </w:t>
      </w:r>
      <w:r w:rsidR="00BA79B3" w:rsidRPr="00636529">
        <w:rPr>
          <w:b/>
          <w:i/>
          <w:sz w:val="22"/>
          <w:szCs w:val="22"/>
        </w:rPr>
        <w:t>Kč</w:t>
      </w:r>
    </w:p>
    <w:p w:rsidR="0003194F" w:rsidRDefault="0003194F" w:rsidP="00BA79B3">
      <w:pPr>
        <w:rPr>
          <w:sz w:val="22"/>
          <w:szCs w:val="22"/>
        </w:rPr>
      </w:pPr>
    </w:p>
    <w:p w:rsidR="00FA21DC" w:rsidRPr="00FA21DC" w:rsidRDefault="00FA21DC" w:rsidP="00BA79B3">
      <w:pPr>
        <w:rPr>
          <w:b/>
        </w:rPr>
      </w:pPr>
      <w:r w:rsidRPr="00FA21DC">
        <w:rPr>
          <w:b/>
        </w:rPr>
        <w:t>Povinné doplatky do rozpočtu městské části od hlavního města Prahy</w:t>
      </w:r>
    </w:p>
    <w:p w:rsidR="00FA21DC" w:rsidRDefault="00FA21DC" w:rsidP="00FA21DC">
      <w:pPr>
        <w:jc w:val="both"/>
        <w:rPr>
          <w:sz w:val="22"/>
          <w:szCs w:val="22"/>
        </w:rPr>
      </w:pPr>
      <w:r>
        <w:rPr>
          <w:sz w:val="22"/>
          <w:szCs w:val="22"/>
        </w:rPr>
        <w:t>Městská část obdrží od hlavního města na dokrytí výdajů na volby do Poslanecké sněmovny Parl</w:t>
      </w:r>
      <w:r>
        <w:rPr>
          <w:sz w:val="22"/>
          <w:szCs w:val="22"/>
        </w:rPr>
        <w:t>a</w:t>
      </w:r>
      <w:r>
        <w:rPr>
          <w:sz w:val="22"/>
          <w:szCs w:val="22"/>
        </w:rPr>
        <w:t xml:space="preserve">mentu částku 491.571,77 Kč a na dokrytí výdajů na volby prezidenta částku 1.317.829,54 Kč. Dále obdrží finanční prostředky přijaté ve výši 50 % z výnosu výherních hracích přístrojů a videoloterijních terminálů </w:t>
      </w:r>
      <w:r w:rsidR="00A810A3">
        <w:rPr>
          <w:sz w:val="22"/>
          <w:szCs w:val="22"/>
        </w:rPr>
        <w:t xml:space="preserve">- </w:t>
      </w:r>
      <w:r>
        <w:rPr>
          <w:sz w:val="22"/>
          <w:szCs w:val="22"/>
        </w:rPr>
        <w:t>doplatek za 3. čtvrtletí 2013 ve výši 3.437.000 Kč.</w:t>
      </w:r>
    </w:p>
    <w:p w:rsidR="00FA21DC" w:rsidRDefault="00FA21DC" w:rsidP="00BA79B3">
      <w:pPr>
        <w:rPr>
          <w:sz w:val="22"/>
          <w:szCs w:val="22"/>
        </w:rPr>
      </w:pPr>
    </w:p>
    <w:p w:rsidR="00FA21DC" w:rsidRPr="00FA21DC" w:rsidRDefault="00FA21DC" w:rsidP="00BA79B3">
      <w:pPr>
        <w:rPr>
          <w:b/>
          <w:i/>
          <w:sz w:val="22"/>
          <w:szCs w:val="22"/>
        </w:rPr>
      </w:pPr>
      <w:r w:rsidRPr="00FA21DC">
        <w:rPr>
          <w:b/>
          <w:i/>
          <w:sz w:val="22"/>
          <w:szCs w:val="22"/>
        </w:rPr>
        <w:t>Celkem od hlavního města městská část obdrží 5.246.401,31 Kč.</w:t>
      </w:r>
    </w:p>
    <w:p w:rsidR="00D053A5" w:rsidRDefault="00D053A5" w:rsidP="00094D31">
      <w:pPr>
        <w:jc w:val="both"/>
        <w:rPr>
          <w:b/>
          <w:sz w:val="20"/>
          <w:szCs w:val="20"/>
          <w:u w:val="single"/>
        </w:rPr>
      </w:pPr>
    </w:p>
    <w:p w:rsidR="00387C4F" w:rsidRDefault="008F27E8" w:rsidP="00A810A3">
      <w:pPr>
        <w:pStyle w:val="Nadpis3"/>
      </w:pPr>
      <w:bookmarkStart w:id="58" w:name="_Toc385875235"/>
      <w:r w:rsidRPr="00313F98">
        <w:t>Odvod</w:t>
      </w:r>
      <w:r w:rsidR="003D454B">
        <w:t>y</w:t>
      </w:r>
      <w:r w:rsidR="00094D31" w:rsidRPr="00313F98">
        <w:t xml:space="preserve"> do rozpočtu</w:t>
      </w:r>
      <w:r w:rsidR="001E428A" w:rsidRPr="00313F98">
        <w:t xml:space="preserve"> </w:t>
      </w:r>
      <w:r w:rsidR="00DC6CB7">
        <w:t>městské části</w:t>
      </w:r>
      <w:r w:rsidR="001E428A" w:rsidRPr="00313F98">
        <w:t xml:space="preserve"> od </w:t>
      </w:r>
      <w:r w:rsidR="00A810A3">
        <w:t>organizací</w:t>
      </w:r>
      <w:bookmarkEnd w:id="58"/>
    </w:p>
    <w:p w:rsidR="0029528E" w:rsidRPr="0029528E" w:rsidRDefault="0029528E" w:rsidP="0029528E">
      <w:pPr>
        <w:rPr>
          <w:b/>
        </w:rPr>
      </w:pPr>
      <w:r w:rsidRPr="0029528E">
        <w:rPr>
          <w:b/>
        </w:rPr>
        <w:t>Příspěvkové organizace zřízené městskou částí</w:t>
      </w:r>
    </w:p>
    <w:p w:rsidR="00ED2F23" w:rsidRDefault="00094D31" w:rsidP="00ED2F23">
      <w:pPr>
        <w:jc w:val="both"/>
        <w:rPr>
          <w:sz w:val="22"/>
          <w:szCs w:val="22"/>
        </w:rPr>
      </w:pPr>
      <w:r w:rsidRPr="00C923FA">
        <w:rPr>
          <w:sz w:val="22"/>
          <w:szCs w:val="22"/>
        </w:rPr>
        <w:t>K datu roční účetní závěrky nebyly některými organizacemi vyčerpány finanční prostředky poskytnuté městskou částí jako příspěvek na provoz</w:t>
      </w:r>
      <w:r w:rsidR="0029528E">
        <w:rPr>
          <w:sz w:val="22"/>
          <w:szCs w:val="22"/>
        </w:rPr>
        <w:t>, a to</w:t>
      </w:r>
      <w:r w:rsidR="007B7276" w:rsidRPr="00C923FA">
        <w:rPr>
          <w:sz w:val="22"/>
          <w:szCs w:val="22"/>
        </w:rPr>
        <w:t xml:space="preserve"> </w:t>
      </w:r>
      <w:r w:rsidR="00AB0E2A">
        <w:rPr>
          <w:sz w:val="22"/>
          <w:szCs w:val="22"/>
        </w:rPr>
        <w:t xml:space="preserve">ve výši </w:t>
      </w:r>
      <w:r w:rsidR="00AB0E2A" w:rsidRPr="00AB0E2A">
        <w:rPr>
          <w:sz w:val="22"/>
          <w:szCs w:val="22"/>
        </w:rPr>
        <w:t>1.109.160,38</w:t>
      </w:r>
      <w:r w:rsidR="00AB0E2A">
        <w:rPr>
          <w:sz w:val="22"/>
          <w:szCs w:val="22"/>
        </w:rPr>
        <w:t xml:space="preserve"> Kč. Zřizovatel má možnost pon</w:t>
      </w:r>
      <w:r w:rsidR="00AB0E2A">
        <w:rPr>
          <w:sz w:val="22"/>
          <w:szCs w:val="22"/>
        </w:rPr>
        <w:t>e</w:t>
      </w:r>
      <w:r w:rsidR="00AB0E2A">
        <w:rPr>
          <w:sz w:val="22"/>
          <w:szCs w:val="22"/>
        </w:rPr>
        <w:t>chat část prostředků podléhající odvodu organizaci</w:t>
      </w:r>
      <w:r w:rsidR="00ED2F23">
        <w:rPr>
          <w:sz w:val="22"/>
          <w:szCs w:val="22"/>
        </w:rPr>
        <w:t xml:space="preserve">. </w:t>
      </w:r>
      <w:r w:rsidR="00AB0E2A">
        <w:rPr>
          <w:sz w:val="22"/>
          <w:szCs w:val="22"/>
        </w:rPr>
        <w:t xml:space="preserve">Odbor školství, kultury a sportu navrhuje </w:t>
      </w:r>
      <w:r w:rsidR="00ED2F23">
        <w:rPr>
          <w:sz w:val="22"/>
          <w:szCs w:val="22"/>
        </w:rPr>
        <w:t>odlišný režim plnění odvodových povinností u některých příspěvkových organizací takto:</w:t>
      </w:r>
    </w:p>
    <w:p w:rsidR="00B63BA9" w:rsidRDefault="00B63BA9" w:rsidP="00ED2F23">
      <w:pPr>
        <w:jc w:val="both"/>
        <w:rPr>
          <w:sz w:val="22"/>
          <w:szCs w:val="22"/>
        </w:rPr>
      </w:pPr>
    </w:p>
    <w:p w:rsidR="00AB0E2A" w:rsidRDefault="00AB0E2A" w:rsidP="00ED2F23">
      <w:pPr>
        <w:numPr>
          <w:ilvl w:val="0"/>
          <w:numId w:val="26"/>
        </w:numPr>
        <w:jc w:val="both"/>
        <w:rPr>
          <w:sz w:val="22"/>
          <w:szCs w:val="22"/>
        </w:rPr>
      </w:pPr>
      <w:r>
        <w:rPr>
          <w:sz w:val="22"/>
          <w:szCs w:val="22"/>
        </w:rPr>
        <w:t xml:space="preserve">ponechání finančních prostředků </w:t>
      </w:r>
      <w:r w:rsidR="00ED2F23">
        <w:rPr>
          <w:sz w:val="22"/>
          <w:szCs w:val="22"/>
        </w:rPr>
        <w:t>Mateřské škole</w:t>
      </w:r>
      <w:r>
        <w:rPr>
          <w:sz w:val="22"/>
          <w:szCs w:val="22"/>
        </w:rPr>
        <w:t xml:space="preserve"> Praha 5 – Smíchov, U železničního mostu 2629, ve výši 22.835 Kč</w:t>
      </w:r>
      <w:r w:rsidRPr="00284AEF">
        <w:rPr>
          <w:sz w:val="22"/>
          <w:szCs w:val="22"/>
        </w:rPr>
        <w:t xml:space="preserve"> </w:t>
      </w:r>
      <w:r w:rsidR="00ED2F23">
        <w:rPr>
          <w:sz w:val="22"/>
          <w:szCs w:val="22"/>
        </w:rPr>
        <w:t>a doporučuje schválit</w:t>
      </w:r>
      <w:r w:rsidRPr="00284AEF">
        <w:rPr>
          <w:sz w:val="22"/>
          <w:szCs w:val="22"/>
        </w:rPr>
        <w:t xml:space="preserve"> převod do rezervního fondu a následně do investiční</w:t>
      </w:r>
      <w:r>
        <w:rPr>
          <w:sz w:val="22"/>
          <w:szCs w:val="22"/>
        </w:rPr>
        <w:t>ho fondu příspěvkové organizace. Stav rezervního fondu školy k 31.12.2013 je 144.369,29 Kč a stav investičního fondu je 196.937 Kč. Finanční prostředky plánuje škola využít na výměnu krytů po výměně oken a dokončení opravy venkovní zdi.</w:t>
      </w:r>
    </w:p>
    <w:p w:rsidR="00ED2F23" w:rsidRPr="00512E48" w:rsidRDefault="00ED2F23" w:rsidP="00ED2F23">
      <w:pPr>
        <w:numPr>
          <w:ilvl w:val="0"/>
          <w:numId w:val="26"/>
        </w:numPr>
        <w:jc w:val="both"/>
        <w:rPr>
          <w:sz w:val="22"/>
          <w:szCs w:val="22"/>
        </w:rPr>
      </w:pPr>
      <w:r>
        <w:rPr>
          <w:sz w:val="22"/>
          <w:szCs w:val="22"/>
        </w:rPr>
        <w:t xml:space="preserve">uložit </w:t>
      </w:r>
      <w:r w:rsidRPr="00180049">
        <w:rPr>
          <w:sz w:val="22"/>
          <w:szCs w:val="22"/>
        </w:rPr>
        <w:t>odvod</w:t>
      </w:r>
      <w:r>
        <w:rPr>
          <w:b/>
          <w:sz w:val="22"/>
          <w:szCs w:val="22"/>
        </w:rPr>
        <w:t xml:space="preserve"> </w:t>
      </w:r>
      <w:r w:rsidRPr="0085002C">
        <w:rPr>
          <w:sz w:val="22"/>
          <w:szCs w:val="22"/>
        </w:rPr>
        <w:t>nevy</w:t>
      </w:r>
      <w:r>
        <w:rPr>
          <w:sz w:val="22"/>
          <w:szCs w:val="22"/>
        </w:rPr>
        <w:t>čerpaného neinvestičního příspěvku Tyršovy základní školy a mateřské školy Praha 5 – Jinonice, U Tyršovy školy 1/430 v částce 111.294,04 Kč, což jsou finanční prostředky, poskytnuté škole zřizovatelem na úhradu právního zastoupení v  soudním sporu (náhrada platu bývalého ředitele školy)</w:t>
      </w:r>
      <w:r w:rsidR="00EF68C6">
        <w:rPr>
          <w:sz w:val="22"/>
          <w:szCs w:val="22"/>
        </w:rPr>
        <w:t>.</w:t>
      </w:r>
      <w:r>
        <w:rPr>
          <w:sz w:val="22"/>
          <w:szCs w:val="22"/>
        </w:rPr>
        <w:t xml:space="preserve"> </w:t>
      </w:r>
      <w:r w:rsidRPr="00EF68C6">
        <w:rPr>
          <w:sz w:val="22"/>
          <w:szCs w:val="22"/>
        </w:rPr>
        <w:t>Zároveň doporučuje škole poskytnout částku 111.294,04 Kč navýšením neinvestičního příspěvku školy v roce 2014 o tyto účelové prostředky v souvislosti se žádostí řed</w:t>
      </w:r>
      <w:r w:rsidRPr="00EF68C6">
        <w:rPr>
          <w:sz w:val="22"/>
          <w:szCs w:val="22"/>
        </w:rPr>
        <w:t>i</w:t>
      </w:r>
      <w:r w:rsidRPr="00EF68C6">
        <w:rPr>
          <w:sz w:val="22"/>
          <w:szCs w:val="22"/>
        </w:rPr>
        <w:t xml:space="preserve">telky školy o ponechání finančních prostředků z důvodu dosud neukončeného soudního sporu o náhradu platu a nutnosti krytí </w:t>
      </w:r>
      <w:r w:rsidR="00EF68C6">
        <w:rPr>
          <w:sz w:val="22"/>
          <w:szCs w:val="22"/>
        </w:rPr>
        <w:t xml:space="preserve">těchto </w:t>
      </w:r>
      <w:r w:rsidRPr="00EF68C6">
        <w:rPr>
          <w:sz w:val="22"/>
          <w:szCs w:val="22"/>
        </w:rPr>
        <w:t>výdajů v roce 2014.</w:t>
      </w:r>
    </w:p>
    <w:p w:rsidR="00ED2F23" w:rsidRDefault="00EF68C6" w:rsidP="00ED2F23">
      <w:pPr>
        <w:numPr>
          <w:ilvl w:val="0"/>
          <w:numId w:val="26"/>
        </w:numPr>
        <w:jc w:val="both"/>
        <w:rPr>
          <w:sz w:val="22"/>
          <w:szCs w:val="22"/>
        </w:rPr>
      </w:pPr>
      <w:r>
        <w:rPr>
          <w:sz w:val="22"/>
          <w:szCs w:val="22"/>
        </w:rPr>
        <w:t>uložit odvod celé části nevyčerpaného neinvestičního příspěvku z r. 2013 Mateřské škole „U K</w:t>
      </w:r>
      <w:r>
        <w:rPr>
          <w:sz w:val="22"/>
          <w:szCs w:val="22"/>
        </w:rPr>
        <w:t>r</w:t>
      </w:r>
      <w:r>
        <w:rPr>
          <w:sz w:val="22"/>
          <w:szCs w:val="22"/>
        </w:rPr>
        <w:t>tečka“ Praha 5 – Motol, Kudrnova 235 ve výši 718.696,58 Kč. Ředitelka školy požádala o pon</w:t>
      </w:r>
      <w:r>
        <w:rPr>
          <w:sz w:val="22"/>
          <w:szCs w:val="22"/>
        </w:rPr>
        <w:t>e</w:t>
      </w:r>
      <w:r>
        <w:rPr>
          <w:sz w:val="22"/>
          <w:szCs w:val="22"/>
        </w:rPr>
        <w:t>chání 60 % z částky 718.696,58 Kč a převedení do rezervního a následně investičního fondu (na škole nebyla realizována výměna oken). Finanční prostředky plánuje škola využít na opravu krytů topení při plánované výměně oken. Vzhledem k tomu, že škola vykazuje stav rezervního fondu k 31.12.2013 v celkové výši 1.043.209,48 Kč a stav investičního fondu je 364.561,54 Kč, dopor</w:t>
      </w:r>
      <w:r>
        <w:rPr>
          <w:sz w:val="22"/>
          <w:szCs w:val="22"/>
        </w:rPr>
        <w:t>u</w:t>
      </w:r>
      <w:r>
        <w:rPr>
          <w:sz w:val="22"/>
          <w:szCs w:val="22"/>
        </w:rPr>
        <w:t>čuje odbor školství a kultury, sportu, aby škola odvedla finanční prostředky do rozpočtu zřizovat</w:t>
      </w:r>
      <w:r>
        <w:rPr>
          <w:sz w:val="22"/>
          <w:szCs w:val="22"/>
        </w:rPr>
        <w:t>e</w:t>
      </w:r>
      <w:r>
        <w:rPr>
          <w:sz w:val="22"/>
          <w:szCs w:val="22"/>
        </w:rPr>
        <w:t>le v celé výši, tj. 718.696,58 Kč.</w:t>
      </w:r>
    </w:p>
    <w:p w:rsidR="001F07A2" w:rsidRDefault="001F07A2" w:rsidP="00ED2F23">
      <w:pPr>
        <w:ind w:left="360"/>
        <w:jc w:val="both"/>
        <w:rPr>
          <w:sz w:val="22"/>
          <w:szCs w:val="22"/>
        </w:rPr>
      </w:pPr>
    </w:p>
    <w:p w:rsidR="001F07A2" w:rsidRDefault="001F07A2" w:rsidP="0029528E">
      <w:pPr>
        <w:jc w:val="both"/>
        <w:rPr>
          <w:sz w:val="22"/>
          <w:szCs w:val="22"/>
        </w:rPr>
      </w:pPr>
      <w:r w:rsidRPr="001F07A2">
        <w:rPr>
          <w:sz w:val="22"/>
          <w:szCs w:val="22"/>
        </w:rPr>
        <w:t xml:space="preserve">Dále </w:t>
      </w:r>
      <w:r>
        <w:rPr>
          <w:sz w:val="22"/>
          <w:szCs w:val="22"/>
        </w:rPr>
        <w:t>příspěvkové organizace odvedou do rozpočtu MČ nevyčerpané příspěvky od hlavního města</w:t>
      </w:r>
      <w:r w:rsidR="0029528E">
        <w:rPr>
          <w:sz w:val="22"/>
          <w:szCs w:val="22"/>
        </w:rPr>
        <w:t xml:space="preserve"> a další výnosy</w:t>
      </w:r>
      <w:r>
        <w:rPr>
          <w:sz w:val="22"/>
          <w:szCs w:val="22"/>
        </w:rPr>
        <w:t>:</w:t>
      </w:r>
    </w:p>
    <w:p w:rsidR="00B63BA9" w:rsidRDefault="00B63BA9" w:rsidP="0029528E">
      <w:pPr>
        <w:jc w:val="both"/>
        <w:rPr>
          <w:sz w:val="22"/>
          <w:szCs w:val="22"/>
        </w:rPr>
      </w:pPr>
    </w:p>
    <w:p w:rsidR="001F07A2" w:rsidRPr="001F07A2" w:rsidRDefault="00B63BA9" w:rsidP="001F07A2">
      <w:pPr>
        <w:numPr>
          <w:ilvl w:val="0"/>
          <w:numId w:val="27"/>
        </w:numPr>
        <w:rPr>
          <w:sz w:val="22"/>
          <w:szCs w:val="22"/>
        </w:rPr>
      </w:pPr>
      <w:r>
        <w:rPr>
          <w:sz w:val="22"/>
          <w:szCs w:val="22"/>
        </w:rPr>
        <w:t xml:space="preserve">Základní škola a </w:t>
      </w:r>
      <w:r w:rsidR="001F07A2" w:rsidRPr="001F07A2">
        <w:rPr>
          <w:sz w:val="22"/>
          <w:szCs w:val="22"/>
        </w:rPr>
        <w:t>M</w:t>
      </w:r>
      <w:r>
        <w:rPr>
          <w:sz w:val="22"/>
          <w:szCs w:val="22"/>
        </w:rPr>
        <w:t>ateřská škola</w:t>
      </w:r>
      <w:r w:rsidR="001F07A2" w:rsidRPr="001F07A2">
        <w:rPr>
          <w:sz w:val="22"/>
          <w:szCs w:val="22"/>
        </w:rPr>
        <w:t xml:space="preserve"> U Santošky nedočerpaný příspěvek na projekt „Zdravé mě</w:t>
      </w:r>
      <w:r w:rsidR="001F07A2" w:rsidRPr="001F07A2">
        <w:rPr>
          <w:sz w:val="22"/>
          <w:szCs w:val="22"/>
        </w:rPr>
        <w:t>s</w:t>
      </w:r>
      <w:r w:rsidR="001F07A2" w:rsidRPr="001F07A2">
        <w:rPr>
          <w:sz w:val="22"/>
          <w:szCs w:val="22"/>
        </w:rPr>
        <w:t xml:space="preserve">to“ 15.000 Kč a asistenti pedagoga </w:t>
      </w:r>
      <w:r>
        <w:rPr>
          <w:sz w:val="22"/>
          <w:szCs w:val="22"/>
        </w:rPr>
        <w:t>ve výši</w:t>
      </w:r>
      <w:r w:rsidR="001F07A2" w:rsidRPr="001F07A2">
        <w:rPr>
          <w:sz w:val="22"/>
          <w:szCs w:val="22"/>
        </w:rPr>
        <w:t xml:space="preserve"> 14.178 Kč</w:t>
      </w:r>
    </w:p>
    <w:p w:rsidR="001F07A2" w:rsidRPr="001F07A2" w:rsidRDefault="00B63BA9" w:rsidP="001F07A2">
      <w:pPr>
        <w:numPr>
          <w:ilvl w:val="0"/>
          <w:numId w:val="27"/>
        </w:numPr>
        <w:rPr>
          <w:sz w:val="22"/>
          <w:szCs w:val="22"/>
        </w:rPr>
      </w:pPr>
      <w:r>
        <w:rPr>
          <w:sz w:val="22"/>
          <w:szCs w:val="22"/>
        </w:rPr>
        <w:t>Základní škola</w:t>
      </w:r>
      <w:r w:rsidR="001F07A2" w:rsidRPr="001F07A2">
        <w:rPr>
          <w:sz w:val="22"/>
          <w:szCs w:val="22"/>
        </w:rPr>
        <w:t xml:space="preserve"> Kořenského 3.716 Kč – nedočerpaný příspěvek </w:t>
      </w:r>
      <w:r w:rsidR="0029528E">
        <w:rPr>
          <w:sz w:val="22"/>
          <w:szCs w:val="22"/>
        </w:rPr>
        <w:t>na</w:t>
      </w:r>
      <w:r w:rsidR="001F07A2" w:rsidRPr="001F07A2">
        <w:rPr>
          <w:sz w:val="22"/>
          <w:szCs w:val="22"/>
        </w:rPr>
        <w:t xml:space="preserve"> projekt Edison</w:t>
      </w:r>
    </w:p>
    <w:p w:rsidR="001F07A2" w:rsidRPr="001F07A2" w:rsidRDefault="00B63BA9" w:rsidP="001F07A2">
      <w:pPr>
        <w:numPr>
          <w:ilvl w:val="0"/>
          <w:numId w:val="27"/>
        </w:numPr>
        <w:rPr>
          <w:sz w:val="22"/>
          <w:szCs w:val="22"/>
        </w:rPr>
      </w:pPr>
      <w:r>
        <w:rPr>
          <w:sz w:val="22"/>
          <w:szCs w:val="22"/>
        </w:rPr>
        <w:t xml:space="preserve">Základní škola a </w:t>
      </w:r>
      <w:r w:rsidRPr="001F07A2">
        <w:rPr>
          <w:sz w:val="22"/>
          <w:szCs w:val="22"/>
        </w:rPr>
        <w:t>M</w:t>
      </w:r>
      <w:r>
        <w:rPr>
          <w:sz w:val="22"/>
          <w:szCs w:val="22"/>
        </w:rPr>
        <w:t>ateřská škola</w:t>
      </w:r>
      <w:r w:rsidRPr="001F07A2">
        <w:rPr>
          <w:sz w:val="22"/>
          <w:szCs w:val="22"/>
        </w:rPr>
        <w:t xml:space="preserve"> </w:t>
      </w:r>
      <w:r w:rsidR="001F07A2" w:rsidRPr="001F07A2">
        <w:rPr>
          <w:sz w:val="22"/>
          <w:szCs w:val="22"/>
        </w:rPr>
        <w:t>U Tyršovy školy 1.400 Kč projekt „Zdravé město“</w:t>
      </w:r>
    </w:p>
    <w:p w:rsidR="001F07A2" w:rsidRPr="001F07A2" w:rsidRDefault="001F07A2" w:rsidP="001F07A2">
      <w:pPr>
        <w:numPr>
          <w:ilvl w:val="0"/>
          <w:numId w:val="27"/>
        </w:numPr>
        <w:rPr>
          <w:sz w:val="22"/>
          <w:szCs w:val="22"/>
        </w:rPr>
      </w:pPr>
      <w:r w:rsidRPr="001F07A2">
        <w:rPr>
          <w:sz w:val="22"/>
          <w:szCs w:val="22"/>
        </w:rPr>
        <w:t>C</w:t>
      </w:r>
      <w:r w:rsidR="00B63BA9">
        <w:rPr>
          <w:sz w:val="22"/>
          <w:szCs w:val="22"/>
        </w:rPr>
        <w:t xml:space="preserve">entrum sociální a ošetřovatelské pomoci </w:t>
      </w:r>
      <w:r w:rsidR="00B63BA9" w:rsidRPr="001F07A2">
        <w:rPr>
          <w:sz w:val="22"/>
          <w:szCs w:val="22"/>
        </w:rPr>
        <w:t>–</w:t>
      </w:r>
      <w:r w:rsidRPr="001F07A2">
        <w:rPr>
          <w:sz w:val="22"/>
          <w:szCs w:val="22"/>
        </w:rPr>
        <w:t xml:space="preserve"> výnos z prodeje vozu ve výši 45.000 Kč</w:t>
      </w:r>
      <w:r w:rsidR="00B63BA9">
        <w:rPr>
          <w:sz w:val="22"/>
          <w:szCs w:val="22"/>
        </w:rPr>
        <w:t>.</w:t>
      </w:r>
    </w:p>
    <w:p w:rsidR="001F07A2" w:rsidRDefault="001F07A2" w:rsidP="001F07A2">
      <w:pPr>
        <w:rPr>
          <w:sz w:val="22"/>
          <w:szCs w:val="22"/>
        </w:rPr>
      </w:pPr>
    </w:p>
    <w:p w:rsidR="00462F0A" w:rsidRPr="0029528E" w:rsidRDefault="00557F77" w:rsidP="00462F0A">
      <w:pPr>
        <w:jc w:val="both"/>
        <w:rPr>
          <w:b/>
          <w:i/>
          <w:sz w:val="22"/>
          <w:szCs w:val="22"/>
        </w:rPr>
      </w:pPr>
      <w:r w:rsidRPr="0029528E">
        <w:rPr>
          <w:b/>
          <w:i/>
          <w:sz w:val="22"/>
          <w:szCs w:val="22"/>
        </w:rPr>
        <w:t>Celkem odvody od příspěvkových organizací</w:t>
      </w:r>
      <w:r w:rsidR="0029528E">
        <w:rPr>
          <w:b/>
          <w:i/>
          <w:sz w:val="22"/>
          <w:szCs w:val="22"/>
        </w:rPr>
        <w:t xml:space="preserve"> činí </w:t>
      </w:r>
      <w:r w:rsidR="00A92269" w:rsidRPr="0029528E">
        <w:rPr>
          <w:b/>
          <w:i/>
          <w:sz w:val="22"/>
          <w:szCs w:val="22"/>
        </w:rPr>
        <w:t>1.170.808,38</w:t>
      </w:r>
      <w:r w:rsidR="005E1108" w:rsidRPr="0029528E">
        <w:rPr>
          <w:b/>
          <w:i/>
          <w:sz w:val="22"/>
          <w:szCs w:val="22"/>
        </w:rPr>
        <w:t> Kč</w:t>
      </w:r>
      <w:r w:rsidR="0029528E">
        <w:rPr>
          <w:b/>
          <w:i/>
          <w:sz w:val="22"/>
          <w:szCs w:val="22"/>
        </w:rPr>
        <w:t>.</w:t>
      </w:r>
    </w:p>
    <w:p w:rsidR="0029528E" w:rsidRPr="004D0F05" w:rsidRDefault="0029528E" w:rsidP="00462F0A">
      <w:pPr>
        <w:jc w:val="both"/>
        <w:rPr>
          <w:b/>
          <w:sz w:val="22"/>
          <w:szCs w:val="22"/>
        </w:rPr>
      </w:pPr>
    </w:p>
    <w:p w:rsidR="009E70E9" w:rsidRPr="0029528E" w:rsidRDefault="009E70E9" w:rsidP="009E70E9">
      <w:pPr>
        <w:jc w:val="both"/>
        <w:rPr>
          <w:b/>
        </w:rPr>
      </w:pPr>
      <w:r w:rsidRPr="0029528E">
        <w:rPr>
          <w:b/>
        </w:rPr>
        <w:lastRenderedPageBreak/>
        <w:t xml:space="preserve">Ostatní </w:t>
      </w:r>
      <w:r w:rsidR="0029528E">
        <w:rPr>
          <w:b/>
        </w:rPr>
        <w:t>odvody</w:t>
      </w:r>
      <w:r w:rsidR="000475CC">
        <w:rPr>
          <w:b/>
        </w:rPr>
        <w:t xml:space="preserve"> organizací</w:t>
      </w:r>
    </w:p>
    <w:p w:rsidR="009E5EEA" w:rsidRDefault="0029528E" w:rsidP="009E70E9">
      <w:pPr>
        <w:jc w:val="both"/>
        <w:rPr>
          <w:sz w:val="22"/>
          <w:szCs w:val="22"/>
        </w:rPr>
      </w:pPr>
      <w:r w:rsidRPr="0029528E">
        <w:rPr>
          <w:sz w:val="22"/>
          <w:szCs w:val="22"/>
        </w:rPr>
        <w:t xml:space="preserve">Některé organizace nevyčerpaly </w:t>
      </w:r>
      <w:r>
        <w:rPr>
          <w:sz w:val="22"/>
          <w:szCs w:val="22"/>
        </w:rPr>
        <w:t>finanční prostředky přidělené v grantovém řízení a proto je vrací do rozpočtu městské části:</w:t>
      </w:r>
    </w:p>
    <w:p w:rsidR="00B63BA9" w:rsidRDefault="00B63BA9" w:rsidP="009E70E9">
      <w:pPr>
        <w:jc w:val="both"/>
        <w:rPr>
          <w:sz w:val="22"/>
          <w:szCs w:val="22"/>
        </w:rPr>
      </w:pPr>
    </w:p>
    <w:p w:rsidR="0029528E" w:rsidRPr="0029528E" w:rsidRDefault="0029528E" w:rsidP="0029528E">
      <w:pPr>
        <w:numPr>
          <w:ilvl w:val="0"/>
          <w:numId w:val="28"/>
        </w:numPr>
        <w:jc w:val="both"/>
        <w:rPr>
          <w:sz w:val="22"/>
          <w:szCs w:val="22"/>
        </w:rPr>
      </w:pPr>
      <w:r w:rsidRPr="0029528E">
        <w:rPr>
          <w:sz w:val="22"/>
          <w:szCs w:val="22"/>
        </w:rPr>
        <w:t>Základní organizace Českého svazu ochránců přírody Strom ve výši 7.047 Kč</w:t>
      </w:r>
    </w:p>
    <w:p w:rsidR="0029528E" w:rsidRPr="0029528E" w:rsidRDefault="0029528E" w:rsidP="0029528E">
      <w:pPr>
        <w:numPr>
          <w:ilvl w:val="0"/>
          <w:numId w:val="28"/>
        </w:numPr>
        <w:jc w:val="both"/>
        <w:rPr>
          <w:sz w:val="22"/>
          <w:szCs w:val="22"/>
        </w:rPr>
      </w:pPr>
      <w:r w:rsidRPr="0029528E">
        <w:rPr>
          <w:sz w:val="22"/>
          <w:szCs w:val="22"/>
        </w:rPr>
        <w:t>ZŠ a MŠ U Santošky 1/1007 ve výši 5.189 Kč</w:t>
      </w:r>
    </w:p>
    <w:p w:rsidR="0029528E" w:rsidRPr="0029528E" w:rsidRDefault="0029528E" w:rsidP="0029528E">
      <w:pPr>
        <w:numPr>
          <w:ilvl w:val="0"/>
          <w:numId w:val="28"/>
        </w:numPr>
        <w:jc w:val="both"/>
        <w:rPr>
          <w:sz w:val="22"/>
          <w:szCs w:val="22"/>
        </w:rPr>
      </w:pPr>
      <w:r w:rsidRPr="0029528E">
        <w:rPr>
          <w:sz w:val="22"/>
          <w:szCs w:val="22"/>
        </w:rPr>
        <w:t>SŠ, ZŠ a MŠ pro sluchově postižené 10.000 Kč.</w:t>
      </w:r>
    </w:p>
    <w:p w:rsidR="0029528E" w:rsidRDefault="0029528E" w:rsidP="009E70E9">
      <w:pPr>
        <w:jc w:val="both"/>
        <w:rPr>
          <w:sz w:val="22"/>
          <w:szCs w:val="22"/>
        </w:rPr>
      </w:pPr>
    </w:p>
    <w:p w:rsidR="0029528E" w:rsidRPr="0029528E" w:rsidRDefault="0029528E" w:rsidP="0029528E">
      <w:pPr>
        <w:jc w:val="both"/>
        <w:rPr>
          <w:b/>
          <w:i/>
          <w:sz w:val="22"/>
          <w:szCs w:val="22"/>
        </w:rPr>
      </w:pPr>
      <w:r w:rsidRPr="0029528E">
        <w:rPr>
          <w:b/>
          <w:i/>
          <w:sz w:val="22"/>
          <w:szCs w:val="22"/>
        </w:rPr>
        <w:t xml:space="preserve">Celkem odvody </w:t>
      </w:r>
      <w:r>
        <w:rPr>
          <w:b/>
          <w:i/>
          <w:sz w:val="22"/>
          <w:szCs w:val="22"/>
        </w:rPr>
        <w:t>nevyčerpaných prostředků z grantů činí 22.236</w:t>
      </w:r>
      <w:r w:rsidRPr="0029528E">
        <w:rPr>
          <w:b/>
          <w:i/>
          <w:sz w:val="22"/>
          <w:szCs w:val="22"/>
        </w:rPr>
        <w:t> Kč</w:t>
      </w:r>
      <w:r>
        <w:rPr>
          <w:b/>
          <w:i/>
          <w:sz w:val="22"/>
          <w:szCs w:val="22"/>
        </w:rPr>
        <w:t>.</w:t>
      </w:r>
    </w:p>
    <w:p w:rsidR="0029528E" w:rsidRPr="0029528E" w:rsidRDefault="0029528E" w:rsidP="009E70E9">
      <w:pPr>
        <w:jc w:val="both"/>
        <w:rPr>
          <w:sz w:val="22"/>
          <w:szCs w:val="22"/>
        </w:rPr>
      </w:pPr>
    </w:p>
    <w:p w:rsidR="00CD7306" w:rsidRDefault="000475CC" w:rsidP="000475CC">
      <w:pPr>
        <w:pStyle w:val="Nadpis3"/>
      </w:pPr>
      <w:bookmarkStart w:id="59" w:name="_Toc385875236"/>
      <w:r>
        <w:t>Ostatní odvody, převody a vypořádání</w:t>
      </w:r>
      <w:bookmarkEnd w:id="59"/>
    </w:p>
    <w:p w:rsidR="000475CC" w:rsidRDefault="000475CC" w:rsidP="009E70E9">
      <w:pPr>
        <w:jc w:val="both"/>
        <w:rPr>
          <w:sz w:val="22"/>
          <w:szCs w:val="22"/>
        </w:rPr>
      </w:pPr>
      <w:r>
        <w:rPr>
          <w:sz w:val="22"/>
          <w:szCs w:val="22"/>
        </w:rPr>
        <w:t>Městská část dále odvede či převede finanční prostředky takto:</w:t>
      </w:r>
    </w:p>
    <w:p w:rsidR="000475CC" w:rsidRPr="000475CC" w:rsidRDefault="000475CC" w:rsidP="000475CC">
      <w:pPr>
        <w:numPr>
          <w:ilvl w:val="0"/>
          <w:numId w:val="29"/>
        </w:numPr>
        <w:jc w:val="both"/>
        <w:rPr>
          <w:sz w:val="22"/>
          <w:szCs w:val="22"/>
        </w:rPr>
      </w:pPr>
      <w:r w:rsidRPr="000475CC">
        <w:rPr>
          <w:sz w:val="22"/>
          <w:szCs w:val="22"/>
        </w:rPr>
        <w:t>Odvod správních poplatků za zpřístupnění datových schránek za IV. čtvrtletí 2013 Ministe</w:t>
      </w:r>
      <w:r w:rsidRPr="000475CC">
        <w:rPr>
          <w:sz w:val="22"/>
          <w:szCs w:val="22"/>
        </w:rPr>
        <w:t>r</w:t>
      </w:r>
      <w:r w:rsidRPr="000475CC">
        <w:rPr>
          <w:sz w:val="22"/>
          <w:szCs w:val="22"/>
        </w:rPr>
        <w:t>stvu vnitra ve výši 10.400 Kč</w:t>
      </w:r>
    </w:p>
    <w:p w:rsidR="000475CC" w:rsidRPr="000475CC" w:rsidRDefault="000475CC" w:rsidP="000475CC">
      <w:pPr>
        <w:numPr>
          <w:ilvl w:val="0"/>
          <w:numId w:val="29"/>
        </w:numPr>
        <w:jc w:val="both"/>
        <w:rPr>
          <w:sz w:val="22"/>
          <w:szCs w:val="22"/>
        </w:rPr>
      </w:pPr>
      <w:r w:rsidRPr="000475CC">
        <w:rPr>
          <w:sz w:val="22"/>
          <w:szCs w:val="22"/>
        </w:rPr>
        <w:t xml:space="preserve">Převod 3,9 % </w:t>
      </w:r>
      <w:r w:rsidR="00B63BA9">
        <w:rPr>
          <w:sz w:val="22"/>
          <w:szCs w:val="22"/>
        </w:rPr>
        <w:t xml:space="preserve">z objemu vyplacených mezd </w:t>
      </w:r>
      <w:r w:rsidRPr="000475CC">
        <w:rPr>
          <w:sz w:val="22"/>
          <w:szCs w:val="22"/>
        </w:rPr>
        <w:t xml:space="preserve">za měsíc prosinec 2013 </w:t>
      </w:r>
      <w:r w:rsidR="00B63BA9" w:rsidRPr="000475CC">
        <w:rPr>
          <w:sz w:val="22"/>
          <w:szCs w:val="22"/>
        </w:rPr>
        <w:t xml:space="preserve">do sociálního fondu </w:t>
      </w:r>
      <w:r w:rsidRPr="000475CC">
        <w:rPr>
          <w:sz w:val="22"/>
          <w:szCs w:val="22"/>
        </w:rPr>
        <w:t>ve výši 356.815 Kč</w:t>
      </w:r>
    </w:p>
    <w:p w:rsidR="000475CC" w:rsidRPr="000475CC" w:rsidRDefault="000475CC" w:rsidP="000475CC">
      <w:pPr>
        <w:numPr>
          <w:ilvl w:val="0"/>
          <w:numId w:val="29"/>
        </w:numPr>
        <w:jc w:val="both"/>
        <w:rPr>
          <w:sz w:val="22"/>
          <w:szCs w:val="22"/>
        </w:rPr>
      </w:pPr>
      <w:r w:rsidRPr="000475CC">
        <w:rPr>
          <w:sz w:val="22"/>
          <w:szCs w:val="22"/>
        </w:rPr>
        <w:t>Převod z rozpočtu na účet zdaňované činnosti – refundace mezd za prosinec 2013 – rozdíl m</w:t>
      </w:r>
      <w:r w:rsidRPr="000475CC">
        <w:rPr>
          <w:sz w:val="22"/>
          <w:szCs w:val="22"/>
        </w:rPr>
        <w:t>e</w:t>
      </w:r>
      <w:r w:rsidRPr="000475CC">
        <w:rPr>
          <w:sz w:val="22"/>
          <w:szCs w:val="22"/>
        </w:rPr>
        <w:t>zi odhadem a skutečností ve výši 56.144 Kč</w:t>
      </w:r>
    </w:p>
    <w:p w:rsidR="000475CC" w:rsidRDefault="000475CC" w:rsidP="000475CC">
      <w:pPr>
        <w:numPr>
          <w:ilvl w:val="0"/>
          <w:numId w:val="29"/>
        </w:numPr>
        <w:jc w:val="both"/>
        <w:rPr>
          <w:sz w:val="22"/>
          <w:szCs w:val="22"/>
        </w:rPr>
      </w:pPr>
      <w:r w:rsidRPr="000475CC">
        <w:rPr>
          <w:sz w:val="22"/>
          <w:szCs w:val="22"/>
        </w:rPr>
        <w:t>Vratka z příspěvku při hmotné nouzi</w:t>
      </w:r>
      <w:r w:rsidR="00B63BA9">
        <w:rPr>
          <w:sz w:val="22"/>
          <w:szCs w:val="22"/>
        </w:rPr>
        <w:t xml:space="preserve"> ve výši 600 Kč</w:t>
      </w:r>
      <w:r w:rsidRPr="000475CC">
        <w:rPr>
          <w:sz w:val="22"/>
          <w:szCs w:val="22"/>
        </w:rPr>
        <w:t xml:space="preserve"> – odvod za měsíc prosinec (MHMP)</w:t>
      </w:r>
      <w:r>
        <w:rPr>
          <w:sz w:val="22"/>
          <w:szCs w:val="22"/>
        </w:rPr>
        <w:t>.</w:t>
      </w:r>
    </w:p>
    <w:p w:rsidR="000475CC" w:rsidRDefault="000475CC" w:rsidP="000475CC">
      <w:pPr>
        <w:jc w:val="both"/>
        <w:rPr>
          <w:sz w:val="22"/>
          <w:szCs w:val="22"/>
        </w:rPr>
      </w:pPr>
    </w:p>
    <w:p w:rsidR="000475CC" w:rsidRDefault="000475CC" w:rsidP="000475CC">
      <w:pPr>
        <w:jc w:val="both"/>
        <w:rPr>
          <w:sz w:val="22"/>
          <w:szCs w:val="22"/>
        </w:rPr>
      </w:pPr>
      <w:r>
        <w:rPr>
          <w:sz w:val="22"/>
          <w:szCs w:val="22"/>
        </w:rPr>
        <w:t>Městská část převede ze sociálního fondu a ze zdaňované činnosti:</w:t>
      </w:r>
    </w:p>
    <w:p w:rsidR="000475CC" w:rsidRPr="000475CC" w:rsidRDefault="000475CC" w:rsidP="000475CC">
      <w:pPr>
        <w:numPr>
          <w:ilvl w:val="0"/>
          <w:numId w:val="30"/>
        </w:numPr>
        <w:jc w:val="both"/>
        <w:rPr>
          <w:sz w:val="22"/>
          <w:szCs w:val="22"/>
        </w:rPr>
      </w:pPr>
      <w:r w:rsidRPr="000475CC">
        <w:rPr>
          <w:sz w:val="22"/>
          <w:szCs w:val="22"/>
        </w:rPr>
        <w:t>Převod do rozpočtu ze zdaňované činnosti– refundace telefonních hovorů – dorovnání za 12/2013 – rozdíl mezi odhadem a skutečností ve výši 245 Kč</w:t>
      </w:r>
    </w:p>
    <w:p w:rsidR="000475CC" w:rsidRPr="000475CC" w:rsidRDefault="000475CC" w:rsidP="000475CC">
      <w:pPr>
        <w:numPr>
          <w:ilvl w:val="0"/>
          <w:numId w:val="30"/>
        </w:numPr>
        <w:jc w:val="both"/>
        <w:rPr>
          <w:sz w:val="22"/>
          <w:szCs w:val="22"/>
        </w:rPr>
      </w:pPr>
      <w:r w:rsidRPr="000475CC">
        <w:rPr>
          <w:sz w:val="22"/>
          <w:szCs w:val="22"/>
        </w:rPr>
        <w:t>Převod ze sociálního fondu do rozpočtu na základě skutečného čerpání – poměrná část př</w:t>
      </w:r>
      <w:r w:rsidRPr="000475CC">
        <w:rPr>
          <w:sz w:val="22"/>
          <w:szCs w:val="22"/>
        </w:rPr>
        <w:t>í</w:t>
      </w:r>
      <w:r w:rsidRPr="000475CC">
        <w:rPr>
          <w:sz w:val="22"/>
          <w:szCs w:val="22"/>
        </w:rPr>
        <w:t>spěvku na rekreaci za prosinec 2013 ve výši 18.697 Kč</w:t>
      </w:r>
    </w:p>
    <w:p w:rsidR="000475CC" w:rsidRPr="000475CC" w:rsidRDefault="000475CC" w:rsidP="000475CC">
      <w:pPr>
        <w:numPr>
          <w:ilvl w:val="0"/>
          <w:numId w:val="30"/>
        </w:numPr>
        <w:jc w:val="both"/>
        <w:rPr>
          <w:sz w:val="22"/>
          <w:szCs w:val="22"/>
        </w:rPr>
      </w:pPr>
      <w:r w:rsidRPr="000475CC">
        <w:rPr>
          <w:sz w:val="22"/>
          <w:szCs w:val="22"/>
        </w:rPr>
        <w:t>Převod ze sociálního fondu do rozpočtu na základě skutečného čerpání – příspěvky na penzijní připojištění za prosinec 2013 ve výši 126.704 Kč.</w:t>
      </w:r>
    </w:p>
    <w:p w:rsidR="000475CC" w:rsidRDefault="000475CC" w:rsidP="009E70E9">
      <w:pPr>
        <w:jc w:val="both"/>
        <w:rPr>
          <w:sz w:val="22"/>
          <w:szCs w:val="22"/>
        </w:rPr>
      </w:pPr>
    </w:p>
    <w:p w:rsidR="000475CC" w:rsidRPr="0029528E" w:rsidRDefault="000475CC" w:rsidP="000475CC">
      <w:pPr>
        <w:jc w:val="both"/>
        <w:rPr>
          <w:b/>
          <w:i/>
          <w:sz w:val="22"/>
          <w:szCs w:val="22"/>
        </w:rPr>
      </w:pPr>
      <w:r w:rsidRPr="0029528E">
        <w:rPr>
          <w:b/>
          <w:i/>
          <w:sz w:val="22"/>
          <w:szCs w:val="22"/>
        </w:rPr>
        <w:t xml:space="preserve">Celkem </w:t>
      </w:r>
      <w:r>
        <w:rPr>
          <w:b/>
          <w:i/>
          <w:sz w:val="22"/>
          <w:szCs w:val="22"/>
        </w:rPr>
        <w:t xml:space="preserve">ostatní </w:t>
      </w:r>
      <w:r w:rsidRPr="0029528E">
        <w:rPr>
          <w:b/>
          <w:i/>
          <w:sz w:val="22"/>
          <w:szCs w:val="22"/>
        </w:rPr>
        <w:t>odvody</w:t>
      </w:r>
      <w:r>
        <w:rPr>
          <w:b/>
          <w:i/>
          <w:sz w:val="22"/>
          <w:szCs w:val="22"/>
        </w:rPr>
        <w:t>, převody a vypořádání činí 278.313 Kč.</w:t>
      </w:r>
    </w:p>
    <w:p w:rsidR="000475CC" w:rsidRPr="000475CC" w:rsidRDefault="000475CC" w:rsidP="009E70E9">
      <w:pPr>
        <w:jc w:val="both"/>
        <w:rPr>
          <w:sz w:val="22"/>
          <w:szCs w:val="22"/>
        </w:rPr>
      </w:pPr>
    </w:p>
    <w:p w:rsidR="00EE0BD1" w:rsidRDefault="00EE0BD1" w:rsidP="003D0BD9">
      <w:pPr>
        <w:pStyle w:val="Nadpis3"/>
      </w:pPr>
      <w:bookmarkStart w:id="60" w:name="_Toc385875237"/>
      <w:r w:rsidRPr="00F20418">
        <w:t>Rekapitulace</w:t>
      </w:r>
      <w:r w:rsidR="003D0BD9">
        <w:t xml:space="preserve"> vyúčtování finančních vztahů a výsledku hospodaření</w:t>
      </w:r>
      <w:bookmarkEnd w:id="60"/>
    </w:p>
    <w:p w:rsidR="003D0BD9" w:rsidRPr="003D0BD9" w:rsidRDefault="003D0BD9" w:rsidP="003D0BD9">
      <w:pPr>
        <w:jc w:val="both"/>
        <w:rPr>
          <w:b/>
          <w:i/>
          <w:sz w:val="22"/>
          <w:szCs w:val="22"/>
        </w:rPr>
      </w:pPr>
      <w:r w:rsidRPr="003D0BD9">
        <w:rPr>
          <w:b/>
          <w:i/>
          <w:sz w:val="22"/>
          <w:szCs w:val="22"/>
        </w:rPr>
        <w:t>Městská část po provedených odvodech, převodech a vypořádáních v</w:t>
      </w:r>
      <w:r>
        <w:rPr>
          <w:b/>
          <w:i/>
          <w:sz w:val="22"/>
          <w:szCs w:val="22"/>
        </w:rPr>
        <w:t>e</w:t>
      </w:r>
      <w:r w:rsidRPr="003D0BD9">
        <w:rPr>
          <w:b/>
          <w:i/>
          <w:sz w:val="22"/>
          <w:szCs w:val="22"/>
        </w:rPr>
        <w:t xml:space="preserve"> výši 6.418.685,19 Kč a v</w:t>
      </w:r>
      <w:r w:rsidRPr="003D0BD9">
        <w:rPr>
          <w:b/>
          <w:i/>
          <w:sz w:val="22"/>
          <w:szCs w:val="22"/>
        </w:rPr>
        <w:t>ý</w:t>
      </w:r>
      <w:r w:rsidRPr="003D0BD9">
        <w:rPr>
          <w:b/>
          <w:i/>
          <w:sz w:val="22"/>
          <w:szCs w:val="22"/>
        </w:rPr>
        <w:t>sledku hospodaření ve výši 110.266.010,64</w:t>
      </w:r>
      <w:r>
        <w:rPr>
          <w:b/>
          <w:i/>
          <w:sz w:val="22"/>
          <w:szCs w:val="22"/>
        </w:rPr>
        <w:t xml:space="preserve"> Kč</w:t>
      </w:r>
      <w:r w:rsidRPr="003D0BD9">
        <w:rPr>
          <w:b/>
          <w:i/>
          <w:sz w:val="22"/>
          <w:szCs w:val="22"/>
        </w:rPr>
        <w:t xml:space="preserve"> dosáhla v hlavní činnosti celkového výsledku hosp</w:t>
      </w:r>
      <w:r w:rsidRPr="003D0BD9">
        <w:rPr>
          <w:b/>
          <w:i/>
          <w:sz w:val="22"/>
          <w:szCs w:val="22"/>
        </w:rPr>
        <w:t>o</w:t>
      </w:r>
      <w:r w:rsidRPr="003D0BD9">
        <w:rPr>
          <w:b/>
          <w:i/>
          <w:sz w:val="22"/>
          <w:szCs w:val="22"/>
        </w:rPr>
        <w:t>daření ve výši 116.684.695,83 Kč.</w:t>
      </w:r>
    </w:p>
    <w:p w:rsidR="003D0BD9" w:rsidRDefault="003D0BD9" w:rsidP="00DC4FEE">
      <w:pPr>
        <w:pStyle w:val="Zhlav"/>
        <w:tabs>
          <w:tab w:val="left" w:pos="708"/>
        </w:tabs>
        <w:jc w:val="right"/>
        <w:rPr>
          <w:bCs/>
          <w:sz w:val="22"/>
          <w:szCs w:val="22"/>
        </w:rPr>
      </w:pPr>
    </w:p>
    <w:p w:rsidR="009E70E9" w:rsidRPr="009B5D38" w:rsidRDefault="00E148C7" w:rsidP="00AA76C9">
      <w:pPr>
        <w:pStyle w:val="Nadpis2"/>
      </w:pPr>
      <w:bookmarkStart w:id="61" w:name="_Toc385875238"/>
      <w:r w:rsidRPr="009B5D38">
        <w:rPr>
          <w:rStyle w:val="Nadpis3Char"/>
          <w:sz w:val="24"/>
        </w:rPr>
        <w:t>9</w:t>
      </w:r>
      <w:r w:rsidR="00657C53" w:rsidRPr="009B5D38">
        <w:rPr>
          <w:rStyle w:val="Nadpis3Char"/>
          <w:sz w:val="24"/>
        </w:rPr>
        <w:t>. Z</w:t>
      </w:r>
      <w:r w:rsidR="00AF42B4" w:rsidRPr="009B5D38">
        <w:rPr>
          <w:rStyle w:val="Nadpis3Char"/>
          <w:sz w:val="24"/>
        </w:rPr>
        <w:t>práva o výsledcích přezkoumání hospodaření</w:t>
      </w:r>
      <w:bookmarkEnd w:id="61"/>
    </w:p>
    <w:p w:rsidR="00C41AFD" w:rsidRDefault="00C41AFD" w:rsidP="00345575">
      <w:pPr>
        <w:pStyle w:val="Zhlav"/>
        <w:tabs>
          <w:tab w:val="left" w:pos="708"/>
        </w:tabs>
        <w:jc w:val="both"/>
        <w:rPr>
          <w:bCs/>
          <w:sz w:val="22"/>
          <w:szCs w:val="22"/>
        </w:rPr>
      </w:pPr>
      <w:r>
        <w:rPr>
          <w:bCs/>
          <w:sz w:val="22"/>
          <w:szCs w:val="22"/>
        </w:rPr>
        <w:t xml:space="preserve">Přezkoumání hospodaření provedla firma NEXIA </w:t>
      </w:r>
      <w:r w:rsidR="00C11FC0">
        <w:rPr>
          <w:bCs/>
          <w:sz w:val="22"/>
          <w:szCs w:val="22"/>
        </w:rPr>
        <w:t>AP</w:t>
      </w:r>
      <w:r>
        <w:rPr>
          <w:bCs/>
          <w:sz w:val="22"/>
          <w:szCs w:val="22"/>
        </w:rPr>
        <w:t xml:space="preserve"> a.</w:t>
      </w:r>
      <w:r w:rsidR="00632C4C">
        <w:rPr>
          <w:bCs/>
          <w:sz w:val="22"/>
          <w:szCs w:val="22"/>
        </w:rPr>
        <w:t xml:space="preserve"> </w:t>
      </w:r>
      <w:r>
        <w:rPr>
          <w:bCs/>
          <w:sz w:val="22"/>
          <w:szCs w:val="22"/>
        </w:rPr>
        <w:t>s.</w:t>
      </w:r>
      <w:r w:rsidR="008A77BD">
        <w:rPr>
          <w:bCs/>
          <w:sz w:val="22"/>
          <w:szCs w:val="22"/>
        </w:rPr>
        <w:t xml:space="preserve">, oprávnění zápisu do seznamu auditorských </w:t>
      </w:r>
      <w:r w:rsidR="008A77BD" w:rsidRPr="007D6CE2">
        <w:rPr>
          <w:bCs/>
          <w:sz w:val="22"/>
          <w:szCs w:val="22"/>
        </w:rPr>
        <w:t xml:space="preserve">společnosti </w:t>
      </w:r>
      <w:r w:rsidR="003D68F8">
        <w:rPr>
          <w:bCs/>
          <w:sz w:val="22"/>
          <w:szCs w:val="22"/>
        </w:rPr>
        <w:t xml:space="preserve">číslo </w:t>
      </w:r>
      <w:r w:rsidR="008A77BD" w:rsidRPr="007D6CE2">
        <w:rPr>
          <w:bCs/>
          <w:sz w:val="22"/>
          <w:szCs w:val="22"/>
        </w:rPr>
        <w:t xml:space="preserve">96, </w:t>
      </w:r>
      <w:r w:rsidRPr="007D6CE2">
        <w:rPr>
          <w:bCs/>
          <w:sz w:val="22"/>
          <w:szCs w:val="22"/>
        </w:rPr>
        <w:t>na základě smlouvy o dílo č</w:t>
      </w:r>
      <w:r w:rsidRPr="0070573F">
        <w:rPr>
          <w:bCs/>
          <w:sz w:val="22"/>
          <w:szCs w:val="22"/>
        </w:rPr>
        <w:t>. 004/0/OEK/2011.</w:t>
      </w:r>
    </w:p>
    <w:p w:rsidR="009E5EEA" w:rsidRDefault="009E5EEA" w:rsidP="00345575">
      <w:pPr>
        <w:pStyle w:val="Zhlav"/>
        <w:tabs>
          <w:tab w:val="left" w:pos="708"/>
        </w:tabs>
        <w:jc w:val="both"/>
        <w:rPr>
          <w:b/>
          <w:bCs/>
          <w:sz w:val="22"/>
          <w:szCs w:val="22"/>
        </w:rPr>
      </w:pPr>
    </w:p>
    <w:p w:rsidR="00DA736F" w:rsidRPr="00AA76C9" w:rsidRDefault="00DA736F" w:rsidP="00345575">
      <w:pPr>
        <w:pStyle w:val="Zhlav"/>
        <w:tabs>
          <w:tab w:val="left" w:pos="708"/>
        </w:tabs>
        <w:jc w:val="both"/>
        <w:rPr>
          <w:bCs/>
          <w:sz w:val="22"/>
          <w:szCs w:val="22"/>
        </w:rPr>
      </w:pPr>
      <w:r w:rsidRPr="00AA76C9">
        <w:rPr>
          <w:bCs/>
          <w:sz w:val="22"/>
          <w:szCs w:val="22"/>
        </w:rPr>
        <w:t xml:space="preserve">Závěr zprávy </w:t>
      </w:r>
      <w:r w:rsidR="00C41AFD" w:rsidRPr="00AA76C9">
        <w:rPr>
          <w:bCs/>
          <w:sz w:val="22"/>
          <w:szCs w:val="22"/>
        </w:rPr>
        <w:t>o výsledku</w:t>
      </w:r>
      <w:r w:rsidRPr="00AA76C9">
        <w:rPr>
          <w:bCs/>
          <w:sz w:val="22"/>
          <w:szCs w:val="22"/>
        </w:rPr>
        <w:t xml:space="preserve"> přezkoumání hospodaření Městské části Praha 5 za rok 20</w:t>
      </w:r>
      <w:r w:rsidR="00220C65" w:rsidRPr="00AA76C9">
        <w:rPr>
          <w:bCs/>
          <w:sz w:val="22"/>
          <w:szCs w:val="22"/>
        </w:rPr>
        <w:t>1</w:t>
      </w:r>
      <w:r w:rsidR="0070573F" w:rsidRPr="00AA76C9">
        <w:rPr>
          <w:bCs/>
          <w:sz w:val="22"/>
          <w:szCs w:val="22"/>
        </w:rPr>
        <w:t>3</w:t>
      </w:r>
      <w:r w:rsidR="00AA76C9" w:rsidRPr="00AA76C9">
        <w:rPr>
          <w:bCs/>
          <w:sz w:val="22"/>
          <w:szCs w:val="22"/>
        </w:rPr>
        <w:t>:</w:t>
      </w:r>
    </w:p>
    <w:p w:rsidR="008A77BD" w:rsidRPr="00DB2911" w:rsidRDefault="008A77BD" w:rsidP="00345575">
      <w:pPr>
        <w:pStyle w:val="Zhlav"/>
        <w:tabs>
          <w:tab w:val="left" w:pos="708"/>
        </w:tabs>
        <w:jc w:val="both"/>
        <w:rPr>
          <w:bCs/>
          <w:sz w:val="22"/>
          <w:szCs w:val="22"/>
        </w:rPr>
      </w:pPr>
    </w:p>
    <w:p w:rsidR="00C11FC0" w:rsidRPr="00AA76C9" w:rsidRDefault="00084ADD" w:rsidP="00220C65">
      <w:pPr>
        <w:pStyle w:val="Zhlav"/>
        <w:tabs>
          <w:tab w:val="left" w:pos="708"/>
        </w:tabs>
        <w:jc w:val="both"/>
        <w:rPr>
          <w:rStyle w:val="Zdraznn"/>
          <w:b/>
        </w:rPr>
      </w:pPr>
      <w:r w:rsidRPr="00AA76C9">
        <w:rPr>
          <w:rStyle w:val="Zdraznn"/>
          <w:b/>
        </w:rPr>
        <w:t>„</w:t>
      </w:r>
      <w:r w:rsidR="00C11FC0" w:rsidRPr="00AA76C9">
        <w:rPr>
          <w:rStyle w:val="Zdraznn"/>
          <w:b/>
        </w:rPr>
        <w:t>Na základě námi provedeného přezkoumání hospodaření Městské části Praha 5 jsme n</w:t>
      </w:r>
      <w:r w:rsidR="00C11FC0" w:rsidRPr="00AA76C9">
        <w:rPr>
          <w:rStyle w:val="Zdraznn"/>
          <w:b/>
        </w:rPr>
        <w:t>e</w:t>
      </w:r>
      <w:r w:rsidR="00C11FC0" w:rsidRPr="00AA76C9">
        <w:rPr>
          <w:rStyle w:val="Zdraznn"/>
          <w:b/>
        </w:rPr>
        <w:t>zjistili žádnou skutečnost, která by nás vedla k přesvědčení, že přezkoumávané hospodaření není ve všech významných (materiálních) ohledech v souladu s hledisky přezkoumání ho</w:t>
      </w:r>
      <w:r w:rsidR="00C11FC0" w:rsidRPr="00AA76C9">
        <w:rPr>
          <w:rStyle w:val="Zdraznn"/>
          <w:b/>
        </w:rPr>
        <w:t>s</w:t>
      </w:r>
      <w:r w:rsidR="00C11FC0" w:rsidRPr="00AA76C9">
        <w:rPr>
          <w:rStyle w:val="Zdraznn"/>
          <w:b/>
        </w:rPr>
        <w:t>podaření uvedenými v bodě 2.2</w:t>
      </w:r>
      <w:r w:rsidR="002265BD" w:rsidRPr="00AA76C9">
        <w:rPr>
          <w:rStyle w:val="Zdraznn"/>
          <w:b/>
        </w:rPr>
        <w:t> </w:t>
      </w:r>
      <w:r w:rsidR="00C11FC0" w:rsidRPr="00AA76C9">
        <w:rPr>
          <w:rStyle w:val="Zdraznn"/>
          <w:b/>
        </w:rPr>
        <w:t>této zprávy</w:t>
      </w:r>
      <w:r w:rsidRPr="00AA76C9">
        <w:rPr>
          <w:rStyle w:val="Zdraznn"/>
          <w:b/>
        </w:rPr>
        <w:t>“</w:t>
      </w:r>
      <w:r w:rsidR="00C11FC0" w:rsidRPr="00AA76C9">
        <w:rPr>
          <w:rStyle w:val="Zdraznn"/>
          <w:b/>
        </w:rPr>
        <w:t>.</w:t>
      </w:r>
    </w:p>
    <w:p w:rsidR="00C11FC0" w:rsidRDefault="00C11FC0" w:rsidP="00220C65">
      <w:pPr>
        <w:pStyle w:val="Zhlav"/>
        <w:tabs>
          <w:tab w:val="left" w:pos="708"/>
        </w:tabs>
        <w:jc w:val="both"/>
        <w:rPr>
          <w:bCs/>
          <w:sz w:val="22"/>
          <w:szCs w:val="22"/>
        </w:rPr>
      </w:pPr>
    </w:p>
    <w:p w:rsidR="000A6A59" w:rsidRPr="00F20418" w:rsidRDefault="007D6CE2" w:rsidP="00220C65">
      <w:pPr>
        <w:pStyle w:val="Zhlav"/>
        <w:tabs>
          <w:tab w:val="left" w:pos="708"/>
        </w:tabs>
        <w:jc w:val="both"/>
        <w:rPr>
          <w:bCs/>
          <w:sz w:val="22"/>
          <w:szCs w:val="22"/>
        </w:rPr>
      </w:pPr>
      <w:r>
        <w:rPr>
          <w:bCs/>
          <w:sz w:val="22"/>
          <w:szCs w:val="22"/>
        </w:rPr>
        <w:t>Úplná z</w:t>
      </w:r>
      <w:r w:rsidR="009F0ACB" w:rsidRPr="00F20418">
        <w:rPr>
          <w:bCs/>
          <w:sz w:val="22"/>
          <w:szCs w:val="22"/>
        </w:rPr>
        <w:t>práva</w:t>
      </w:r>
      <w:r w:rsidR="00DA736F" w:rsidRPr="00F20418">
        <w:rPr>
          <w:bCs/>
          <w:sz w:val="22"/>
          <w:szCs w:val="22"/>
        </w:rPr>
        <w:t xml:space="preserve"> o výsledku přezkoumání hospodaření </w:t>
      </w:r>
      <w:r w:rsidR="00CF4F92">
        <w:rPr>
          <w:bCs/>
          <w:sz w:val="22"/>
          <w:szCs w:val="22"/>
        </w:rPr>
        <w:t>městské části za rok 201</w:t>
      </w:r>
      <w:r w:rsidR="0070573F">
        <w:rPr>
          <w:bCs/>
          <w:sz w:val="22"/>
          <w:szCs w:val="22"/>
        </w:rPr>
        <w:t>3</w:t>
      </w:r>
      <w:r w:rsidR="003D68F8">
        <w:rPr>
          <w:bCs/>
          <w:sz w:val="22"/>
          <w:szCs w:val="22"/>
        </w:rPr>
        <w:t>,</w:t>
      </w:r>
      <w:r>
        <w:rPr>
          <w:bCs/>
          <w:sz w:val="22"/>
          <w:szCs w:val="22"/>
        </w:rPr>
        <w:t xml:space="preserve"> </w:t>
      </w:r>
      <w:r w:rsidR="00CF4F92">
        <w:rPr>
          <w:bCs/>
          <w:sz w:val="22"/>
          <w:szCs w:val="22"/>
        </w:rPr>
        <w:t>dopis pro vedení měs</w:t>
      </w:r>
      <w:r w:rsidR="00CF4F92">
        <w:rPr>
          <w:bCs/>
          <w:sz w:val="22"/>
          <w:szCs w:val="22"/>
        </w:rPr>
        <w:t>t</w:t>
      </w:r>
      <w:r w:rsidR="00CF4F92">
        <w:rPr>
          <w:bCs/>
          <w:sz w:val="22"/>
          <w:szCs w:val="22"/>
        </w:rPr>
        <w:t xml:space="preserve">ské části </w:t>
      </w:r>
      <w:r w:rsidR="003D68F8">
        <w:rPr>
          <w:bCs/>
          <w:sz w:val="22"/>
          <w:szCs w:val="22"/>
        </w:rPr>
        <w:t xml:space="preserve">a odpověď statutárního orgánu </w:t>
      </w:r>
      <w:r w:rsidR="008A77BD" w:rsidRPr="004E7AC0">
        <w:rPr>
          <w:bCs/>
          <w:sz w:val="22"/>
          <w:szCs w:val="22"/>
        </w:rPr>
        <w:t>městské části jsou v příloze</w:t>
      </w:r>
      <w:r w:rsidR="008A77BD">
        <w:rPr>
          <w:bCs/>
          <w:sz w:val="22"/>
          <w:szCs w:val="22"/>
        </w:rPr>
        <w:t xml:space="preserve"> č. </w:t>
      </w:r>
      <w:r w:rsidR="000205B3">
        <w:rPr>
          <w:bCs/>
          <w:sz w:val="22"/>
          <w:szCs w:val="22"/>
        </w:rPr>
        <w:t>1</w:t>
      </w:r>
      <w:r w:rsidR="003D0BD9">
        <w:rPr>
          <w:bCs/>
          <w:sz w:val="22"/>
          <w:szCs w:val="22"/>
        </w:rPr>
        <w:t>4</w:t>
      </w:r>
      <w:r w:rsidR="000205B3">
        <w:rPr>
          <w:bCs/>
          <w:sz w:val="22"/>
          <w:szCs w:val="22"/>
        </w:rPr>
        <w:t>.</w:t>
      </w:r>
      <w:r w:rsidR="00313F98">
        <w:rPr>
          <w:bCs/>
          <w:sz w:val="22"/>
          <w:szCs w:val="22"/>
        </w:rPr>
        <w:t xml:space="preserve"> K odstranění nedostatků z přezkoumání hospodaření vydal tajemník úřadu Nařízení, kterým ukládá příslušným vedoucím z</w:t>
      </w:r>
      <w:r w:rsidR="00313F98">
        <w:rPr>
          <w:bCs/>
          <w:sz w:val="22"/>
          <w:szCs w:val="22"/>
        </w:rPr>
        <w:t>a</w:t>
      </w:r>
      <w:r w:rsidR="00313F98">
        <w:rPr>
          <w:bCs/>
          <w:sz w:val="22"/>
          <w:szCs w:val="22"/>
        </w:rPr>
        <w:t>městnancům úkoly k jejich odstranění.</w:t>
      </w:r>
    </w:p>
    <w:p w:rsidR="000A6A59" w:rsidRDefault="000A6A59" w:rsidP="00220C65">
      <w:pPr>
        <w:pStyle w:val="Zhlav"/>
        <w:tabs>
          <w:tab w:val="left" w:pos="708"/>
        </w:tabs>
        <w:jc w:val="both"/>
        <w:rPr>
          <w:bCs/>
          <w:sz w:val="22"/>
          <w:szCs w:val="22"/>
        </w:rPr>
      </w:pPr>
    </w:p>
    <w:p w:rsidR="000205B3" w:rsidRDefault="000205B3" w:rsidP="00220C65">
      <w:pPr>
        <w:pStyle w:val="Zhlav"/>
        <w:tabs>
          <w:tab w:val="left" w:pos="708"/>
        </w:tabs>
        <w:jc w:val="both"/>
        <w:rPr>
          <w:bCs/>
          <w:sz w:val="22"/>
          <w:szCs w:val="22"/>
        </w:rPr>
      </w:pPr>
    </w:p>
    <w:p w:rsidR="00D7314E" w:rsidRPr="00F20418" w:rsidRDefault="00DA736F" w:rsidP="004E36C1">
      <w:pPr>
        <w:pStyle w:val="Zhlav"/>
        <w:tabs>
          <w:tab w:val="left" w:pos="708"/>
        </w:tabs>
        <w:jc w:val="both"/>
        <w:rPr>
          <w:bCs/>
          <w:sz w:val="22"/>
          <w:szCs w:val="22"/>
        </w:rPr>
      </w:pPr>
      <w:r w:rsidRPr="00F20418">
        <w:rPr>
          <w:bCs/>
          <w:sz w:val="22"/>
          <w:szCs w:val="22"/>
        </w:rPr>
        <w:t>V Praze dne:</w:t>
      </w:r>
      <w:r w:rsidR="00456728" w:rsidRPr="00F20418">
        <w:rPr>
          <w:bCs/>
          <w:sz w:val="22"/>
          <w:szCs w:val="22"/>
        </w:rPr>
        <w:t xml:space="preserve"> </w:t>
      </w:r>
      <w:r w:rsidR="00797F6F">
        <w:rPr>
          <w:bCs/>
          <w:sz w:val="22"/>
          <w:szCs w:val="22"/>
        </w:rPr>
        <w:t>22</w:t>
      </w:r>
      <w:r w:rsidR="00D151D0">
        <w:rPr>
          <w:bCs/>
          <w:sz w:val="22"/>
          <w:szCs w:val="22"/>
        </w:rPr>
        <w:t xml:space="preserve">. </w:t>
      </w:r>
      <w:r w:rsidR="006628C5">
        <w:rPr>
          <w:bCs/>
          <w:sz w:val="22"/>
          <w:szCs w:val="22"/>
        </w:rPr>
        <w:t>4.</w:t>
      </w:r>
      <w:r w:rsidR="00DD5137">
        <w:rPr>
          <w:bCs/>
          <w:sz w:val="22"/>
          <w:szCs w:val="22"/>
        </w:rPr>
        <w:t>201</w:t>
      </w:r>
      <w:r w:rsidR="0070573F">
        <w:rPr>
          <w:bCs/>
          <w:sz w:val="22"/>
          <w:szCs w:val="22"/>
        </w:rPr>
        <w:t>4</w:t>
      </w:r>
    </w:p>
    <w:p w:rsidR="00771A39" w:rsidRDefault="00771A39" w:rsidP="009E70E9">
      <w:pPr>
        <w:pStyle w:val="Zhlav"/>
        <w:tabs>
          <w:tab w:val="left" w:pos="708"/>
        </w:tabs>
        <w:rPr>
          <w:bCs/>
          <w:sz w:val="22"/>
          <w:szCs w:val="22"/>
        </w:rPr>
      </w:pPr>
    </w:p>
    <w:p w:rsidR="00797F6F" w:rsidRPr="00F20418" w:rsidRDefault="00797F6F" w:rsidP="009E70E9">
      <w:pPr>
        <w:pStyle w:val="Zhlav"/>
        <w:tabs>
          <w:tab w:val="left" w:pos="708"/>
        </w:tabs>
        <w:rPr>
          <w:bCs/>
          <w:sz w:val="22"/>
          <w:szCs w:val="22"/>
        </w:rPr>
      </w:pPr>
    </w:p>
    <w:p w:rsidR="00DA736F" w:rsidRPr="00F20418" w:rsidRDefault="00DA736F" w:rsidP="009E70E9">
      <w:pPr>
        <w:pStyle w:val="Zhlav"/>
        <w:tabs>
          <w:tab w:val="left" w:pos="708"/>
        </w:tabs>
        <w:rPr>
          <w:bCs/>
          <w:sz w:val="22"/>
          <w:szCs w:val="22"/>
        </w:rPr>
      </w:pPr>
      <w:r w:rsidRPr="00F20418">
        <w:rPr>
          <w:bCs/>
          <w:sz w:val="22"/>
          <w:szCs w:val="22"/>
        </w:rPr>
        <w:t>Vyhotovil: Odbor ekonomický ÚMČ Praha 5</w:t>
      </w:r>
      <w:r w:rsidR="00797F6F">
        <w:rPr>
          <w:bCs/>
          <w:sz w:val="22"/>
          <w:szCs w:val="22"/>
        </w:rPr>
        <w:t>:</w:t>
      </w:r>
    </w:p>
    <w:p w:rsidR="007D6CE2" w:rsidRDefault="007D6CE2" w:rsidP="009E70E9">
      <w:pPr>
        <w:pStyle w:val="Zhlav"/>
        <w:tabs>
          <w:tab w:val="left" w:pos="708"/>
        </w:tabs>
        <w:rPr>
          <w:bCs/>
          <w:sz w:val="22"/>
          <w:szCs w:val="22"/>
        </w:rPr>
      </w:pPr>
    </w:p>
    <w:p w:rsidR="00DA736F" w:rsidRDefault="00A24A9C" w:rsidP="009E70E9">
      <w:pPr>
        <w:pStyle w:val="Zhlav"/>
        <w:tabs>
          <w:tab w:val="left" w:pos="708"/>
        </w:tabs>
        <w:rPr>
          <w:bCs/>
          <w:sz w:val="22"/>
          <w:szCs w:val="22"/>
        </w:rPr>
      </w:pPr>
      <w:r w:rsidRPr="00F20418">
        <w:rPr>
          <w:bCs/>
          <w:sz w:val="22"/>
          <w:szCs w:val="22"/>
        </w:rPr>
        <w:t>Vedoucí odboru</w:t>
      </w:r>
    </w:p>
    <w:p w:rsidR="0029654B" w:rsidRDefault="0029654B" w:rsidP="009E70E9">
      <w:pPr>
        <w:pStyle w:val="Zhlav"/>
        <w:tabs>
          <w:tab w:val="left" w:pos="708"/>
        </w:tabs>
        <w:rPr>
          <w:bCs/>
          <w:sz w:val="22"/>
          <w:szCs w:val="22"/>
        </w:rPr>
      </w:pPr>
      <w:r>
        <w:rPr>
          <w:bCs/>
          <w:sz w:val="22"/>
          <w:szCs w:val="22"/>
        </w:rPr>
        <w:t>Ing. Zdeněk Pechar</w:t>
      </w:r>
    </w:p>
    <w:p w:rsidR="00797F6F" w:rsidRDefault="00797F6F" w:rsidP="009E70E9">
      <w:pPr>
        <w:pStyle w:val="Zhlav"/>
        <w:tabs>
          <w:tab w:val="left" w:pos="708"/>
        </w:tabs>
        <w:rPr>
          <w:bCs/>
          <w:sz w:val="22"/>
          <w:szCs w:val="22"/>
        </w:rPr>
      </w:pPr>
    </w:p>
    <w:p w:rsidR="0029654B" w:rsidRPr="00F20418" w:rsidRDefault="0029654B" w:rsidP="009E70E9">
      <w:pPr>
        <w:pStyle w:val="Zhlav"/>
        <w:tabs>
          <w:tab w:val="left" w:pos="708"/>
        </w:tabs>
        <w:rPr>
          <w:bCs/>
          <w:sz w:val="22"/>
          <w:szCs w:val="22"/>
        </w:rPr>
      </w:pPr>
    </w:p>
    <w:p w:rsidR="00DA736F" w:rsidRDefault="00DA736F" w:rsidP="009E70E9">
      <w:pPr>
        <w:pStyle w:val="Zhlav"/>
        <w:tabs>
          <w:tab w:val="left" w:pos="708"/>
        </w:tabs>
        <w:rPr>
          <w:bCs/>
          <w:sz w:val="22"/>
          <w:szCs w:val="22"/>
        </w:rPr>
      </w:pPr>
      <w:r w:rsidRPr="00F20418">
        <w:rPr>
          <w:bCs/>
          <w:sz w:val="22"/>
          <w:szCs w:val="22"/>
        </w:rPr>
        <w:t>Vedoucí oddělení plánu a rozpočtu</w:t>
      </w:r>
    </w:p>
    <w:p w:rsidR="0029654B" w:rsidRDefault="0029654B" w:rsidP="009E70E9">
      <w:pPr>
        <w:pStyle w:val="Zhlav"/>
        <w:tabs>
          <w:tab w:val="left" w:pos="708"/>
        </w:tabs>
        <w:rPr>
          <w:bCs/>
          <w:sz w:val="22"/>
          <w:szCs w:val="22"/>
        </w:rPr>
      </w:pPr>
      <w:r>
        <w:rPr>
          <w:bCs/>
          <w:sz w:val="22"/>
          <w:szCs w:val="22"/>
        </w:rPr>
        <w:t>Jaroslava Jeřichová</w:t>
      </w:r>
    </w:p>
    <w:p w:rsidR="00797F6F" w:rsidRDefault="00797F6F" w:rsidP="009E70E9">
      <w:pPr>
        <w:pStyle w:val="Zhlav"/>
        <w:tabs>
          <w:tab w:val="left" w:pos="708"/>
        </w:tabs>
        <w:rPr>
          <w:bCs/>
          <w:sz w:val="22"/>
          <w:szCs w:val="22"/>
        </w:rPr>
      </w:pPr>
    </w:p>
    <w:p w:rsidR="0029654B" w:rsidRPr="00F20418" w:rsidRDefault="0029654B" w:rsidP="009E70E9">
      <w:pPr>
        <w:pStyle w:val="Zhlav"/>
        <w:tabs>
          <w:tab w:val="left" w:pos="708"/>
        </w:tabs>
        <w:rPr>
          <w:bCs/>
          <w:sz w:val="22"/>
          <w:szCs w:val="22"/>
        </w:rPr>
      </w:pPr>
    </w:p>
    <w:p w:rsidR="00480F5B" w:rsidRDefault="00AC6A4B" w:rsidP="009E70E9">
      <w:pPr>
        <w:pStyle w:val="Zhlav"/>
        <w:tabs>
          <w:tab w:val="left" w:pos="708"/>
        </w:tabs>
        <w:rPr>
          <w:bCs/>
          <w:sz w:val="22"/>
          <w:szCs w:val="22"/>
        </w:rPr>
      </w:pPr>
      <w:r w:rsidRPr="00AC6A4B">
        <w:rPr>
          <w:bCs/>
          <w:sz w:val="22"/>
          <w:szCs w:val="22"/>
        </w:rPr>
        <w:t>Vedouc</w:t>
      </w:r>
      <w:r w:rsidR="0029654B">
        <w:rPr>
          <w:bCs/>
          <w:sz w:val="22"/>
          <w:szCs w:val="22"/>
        </w:rPr>
        <w:t>í oddělení hospodářské činnosti</w:t>
      </w:r>
    </w:p>
    <w:p w:rsidR="0029654B" w:rsidRPr="00797F6F" w:rsidRDefault="0029654B" w:rsidP="009E70E9">
      <w:pPr>
        <w:pStyle w:val="Zhlav"/>
        <w:tabs>
          <w:tab w:val="left" w:pos="708"/>
        </w:tabs>
        <w:rPr>
          <w:bCs/>
          <w:sz w:val="22"/>
          <w:szCs w:val="22"/>
        </w:rPr>
      </w:pPr>
      <w:r>
        <w:rPr>
          <w:bCs/>
          <w:sz w:val="22"/>
          <w:szCs w:val="22"/>
        </w:rPr>
        <w:t>Ing. Milada Křižáková</w:t>
      </w:r>
    </w:p>
    <w:sectPr w:rsidR="0029654B" w:rsidRPr="00797F6F" w:rsidSect="009E5EEA">
      <w:headerReference w:type="default" r:id="rId12"/>
      <w:footerReference w:type="default" r:id="rId13"/>
      <w:pgSz w:w="11906" w:h="16838"/>
      <w:pgMar w:top="1417" w:right="1416"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43F" w:rsidRDefault="0090643F">
      <w:r>
        <w:separator/>
      </w:r>
    </w:p>
  </w:endnote>
  <w:endnote w:type="continuationSeparator" w:id="0">
    <w:p w:rsidR="0090643F" w:rsidRDefault="00906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F" w:rsidRDefault="002D2CE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D2CEF" w:rsidRDefault="002D2CEF">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F" w:rsidRDefault="002D2CEF">
    <w:pPr>
      <w:pStyle w:val="Zpat"/>
      <w:tabs>
        <w:tab w:val="clear" w:pos="4536"/>
        <w:tab w:val="clear" w:pos="9072"/>
        <w:tab w:val="left" w:pos="7740"/>
      </w:tabs>
      <w:ind w:right="36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F" w:rsidRDefault="002D2CEF">
    <w:pPr>
      <w:pStyle w:val="Zpat"/>
      <w:rPr>
        <w:sz w:val="16"/>
        <w:szCs w:val="16"/>
      </w:rPr>
    </w:pPr>
    <w:r>
      <w:rPr>
        <w:sz w:val="16"/>
        <w:szCs w:val="16"/>
      </w:rPr>
      <w:t xml:space="preserve">Závěrečný účet 2013 </w:t>
    </w:r>
    <w:r>
      <w:rPr>
        <w:sz w:val="16"/>
        <w:szCs w:val="16"/>
      </w:rPr>
      <w:tab/>
    </w:r>
    <w:r>
      <w:rPr>
        <w:sz w:val="16"/>
        <w:szCs w:val="16"/>
      </w:rPr>
      <w:tab/>
      <w:t xml:space="preserve">strana </w:t>
    </w: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sidR="00160C91">
      <w:rPr>
        <w:rStyle w:val="slostrnky"/>
        <w:noProof/>
        <w:sz w:val="16"/>
        <w:szCs w:val="16"/>
      </w:rPr>
      <w:t>2</w:t>
    </w:r>
    <w:r>
      <w:rPr>
        <w:rStyle w:val="slostrnky"/>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43F" w:rsidRDefault="0090643F">
      <w:r>
        <w:rPr>
          <w:rStyle w:val="slostrnky"/>
          <w:szCs w:val="20"/>
        </w:rPr>
        <w:fldChar w:fldCharType="begin"/>
      </w:r>
      <w:r>
        <w:rPr>
          <w:rStyle w:val="slostrnky"/>
          <w:szCs w:val="20"/>
        </w:rPr>
        <w:instrText xml:space="preserve"> PAGE </w:instrText>
      </w:r>
      <w:r>
        <w:rPr>
          <w:rStyle w:val="slostrnky"/>
          <w:szCs w:val="20"/>
        </w:rPr>
        <w:fldChar w:fldCharType="separate"/>
      </w:r>
      <w:r>
        <w:rPr>
          <w:rStyle w:val="slostrnky"/>
          <w:noProof/>
          <w:szCs w:val="20"/>
        </w:rPr>
        <w:t>13</w:t>
      </w:r>
      <w:r>
        <w:rPr>
          <w:rStyle w:val="slostrnky"/>
          <w:szCs w:val="20"/>
        </w:rPr>
        <w:fldChar w:fldCharType="end"/>
      </w:r>
      <w:r>
        <w:separator/>
      </w:r>
    </w:p>
  </w:footnote>
  <w:footnote w:type="continuationSeparator" w:id="0">
    <w:p w:rsidR="0090643F" w:rsidRDefault="00906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F" w:rsidRPr="00480F5B" w:rsidRDefault="002D2CEF">
    <w:pPr>
      <w:pStyle w:val="Zhlav"/>
      <w:rPr>
        <w:sz w:val="20"/>
        <w:szCs w:val="20"/>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72DE"/>
    <w:multiLevelType w:val="hybridMultilevel"/>
    <w:tmpl w:val="28C80224"/>
    <w:lvl w:ilvl="0" w:tplc="B420B30A">
      <w:numFmt w:val="bullet"/>
      <w:lvlText w:val="-"/>
      <w:lvlJc w:val="left"/>
      <w:pPr>
        <w:ind w:left="3900" w:hanging="360"/>
      </w:pPr>
      <w:rPr>
        <w:rFonts w:ascii="Times New Roman" w:eastAsia="Times New Roman" w:hAnsi="Times New Roman" w:cs="Times New Roman"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1">
    <w:nsid w:val="03CB1F17"/>
    <w:multiLevelType w:val="multilevel"/>
    <w:tmpl w:val="18F4CB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C664CD1"/>
    <w:multiLevelType w:val="hybridMultilevel"/>
    <w:tmpl w:val="761C73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9544DC"/>
    <w:multiLevelType w:val="hybridMultilevel"/>
    <w:tmpl w:val="FF90C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348622F"/>
    <w:multiLevelType w:val="multilevel"/>
    <w:tmpl w:val="055AA3F0"/>
    <w:lvl w:ilvl="0">
      <w:start w:val="1"/>
      <w:numFmt w:val="decimal"/>
      <w:lvlText w:val="%1."/>
      <w:lvlJc w:val="left"/>
      <w:pPr>
        <w:ind w:left="360" w:hanging="360"/>
      </w:pPr>
      <w:rPr>
        <w:rFonts w:hint="default"/>
        <w:b/>
      </w:rPr>
    </w:lvl>
    <w:lvl w:ilvl="1">
      <w:start w:val="1"/>
      <w:numFmt w:val="decimal"/>
      <w:lvlText w:val="%1.%2."/>
      <w:lvlJc w:val="left"/>
      <w:pPr>
        <w:ind w:left="615" w:hanging="360"/>
      </w:pPr>
      <w:rPr>
        <w:rFonts w:hint="default"/>
        <w:b/>
      </w:rPr>
    </w:lvl>
    <w:lvl w:ilvl="2">
      <w:start w:val="1"/>
      <w:numFmt w:val="decimal"/>
      <w:lvlText w:val="%1.%2.%3."/>
      <w:lvlJc w:val="left"/>
      <w:pPr>
        <w:ind w:left="1230" w:hanging="720"/>
      </w:pPr>
      <w:rPr>
        <w:rFonts w:hint="default"/>
        <w:b/>
      </w:rPr>
    </w:lvl>
    <w:lvl w:ilvl="3">
      <w:start w:val="1"/>
      <w:numFmt w:val="decimal"/>
      <w:lvlText w:val="%1.%2.%3.%4."/>
      <w:lvlJc w:val="left"/>
      <w:pPr>
        <w:ind w:left="1485" w:hanging="720"/>
      </w:pPr>
      <w:rPr>
        <w:rFonts w:hint="default"/>
        <w:b/>
      </w:rPr>
    </w:lvl>
    <w:lvl w:ilvl="4">
      <w:start w:val="1"/>
      <w:numFmt w:val="decimal"/>
      <w:lvlText w:val="%1.%2.%3.%4.%5."/>
      <w:lvlJc w:val="left"/>
      <w:pPr>
        <w:ind w:left="2100" w:hanging="1080"/>
      </w:pPr>
      <w:rPr>
        <w:rFonts w:hint="default"/>
        <w:b/>
      </w:rPr>
    </w:lvl>
    <w:lvl w:ilvl="5">
      <w:start w:val="1"/>
      <w:numFmt w:val="decimal"/>
      <w:lvlText w:val="%1.%2.%3.%4.%5.%6."/>
      <w:lvlJc w:val="left"/>
      <w:pPr>
        <w:ind w:left="2355" w:hanging="1080"/>
      </w:pPr>
      <w:rPr>
        <w:rFonts w:hint="default"/>
        <w:b/>
      </w:rPr>
    </w:lvl>
    <w:lvl w:ilvl="6">
      <w:start w:val="1"/>
      <w:numFmt w:val="decimal"/>
      <w:lvlText w:val="%1.%2.%3.%4.%5.%6.%7."/>
      <w:lvlJc w:val="left"/>
      <w:pPr>
        <w:ind w:left="2970" w:hanging="1440"/>
      </w:pPr>
      <w:rPr>
        <w:rFonts w:hint="default"/>
        <w:b/>
      </w:rPr>
    </w:lvl>
    <w:lvl w:ilvl="7">
      <w:start w:val="1"/>
      <w:numFmt w:val="decimal"/>
      <w:lvlText w:val="%1.%2.%3.%4.%5.%6.%7.%8."/>
      <w:lvlJc w:val="left"/>
      <w:pPr>
        <w:ind w:left="3225" w:hanging="1440"/>
      </w:pPr>
      <w:rPr>
        <w:rFonts w:hint="default"/>
        <w:b/>
      </w:rPr>
    </w:lvl>
    <w:lvl w:ilvl="8">
      <w:start w:val="1"/>
      <w:numFmt w:val="decimal"/>
      <w:lvlText w:val="%1.%2.%3.%4.%5.%6.%7.%8.%9."/>
      <w:lvlJc w:val="left"/>
      <w:pPr>
        <w:ind w:left="3840" w:hanging="1800"/>
      </w:pPr>
      <w:rPr>
        <w:rFonts w:hint="default"/>
        <w:b/>
      </w:rPr>
    </w:lvl>
  </w:abstractNum>
  <w:abstractNum w:abstractNumId="5">
    <w:nsid w:val="13821FA2"/>
    <w:multiLevelType w:val="hybridMultilevel"/>
    <w:tmpl w:val="6D2828D4"/>
    <w:lvl w:ilvl="0" w:tplc="04050009">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4442F42"/>
    <w:multiLevelType w:val="hybridMultilevel"/>
    <w:tmpl w:val="6E7032AC"/>
    <w:lvl w:ilvl="0" w:tplc="2E946558">
      <w:start w:val="4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8B45903"/>
    <w:multiLevelType w:val="hybridMultilevel"/>
    <w:tmpl w:val="B4E2EF5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D450C21"/>
    <w:multiLevelType w:val="hybridMultilevel"/>
    <w:tmpl w:val="26447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5B50C9"/>
    <w:multiLevelType w:val="hybridMultilevel"/>
    <w:tmpl w:val="EE4698BA"/>
    <w:lvl w:ilvl="0" w:tplc="04050009">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2C893656"/>
    <w:multiLevelType w:val="hybridMultilevel"/>
    <w:tmpl w:val="790A1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1F42921"/>
    <w:multiLevelType w:val="hybridMultilevel"/>
    <w:tmpl w:val="1F3C98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A33566"/>
    <w:multiLevelType w:val="multilevel"/>
    <w:tmpl w:val="627CBB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C1372BD"/>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C7C2F14"/>
    <w:multiLevelType w:val="hybridMultilevel"/>
    <w:tmpl w:val="9ED85DE6"/>
    <w:lvl w:ilvl="0" w:tplc="AB14AB48">
      <w:numFmt w:val="bullet"/>
      <w:lvlText w:val="-"/>
      <w:lvlJc w:val="left"/>
      <w:pPr>
        <w:ind w:left="2484"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3F112BB0"/>
    <w:multiLevelType w:val="hybridMultilevel"/>
    <w:tmpl w:val="6BCAA660"/>
    <w:lvl w:ilvl="0" w:tplc="04050009">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47944A4B"/>
    <w:multiLevelType w:val="hybridMultilevel"/>
    <w:tmpl w:val="C0FAE4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8227A70"/>
    <w:multiLevelType w:val="hybridMultilevel"/>
    <w:tmpl w:val="B8E4B1B4"/>
    <w:lvl w:ilvl="0" w:tplc="04050009">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52A548BE"/>
    <w:multiLevelType w:val="hybridMultilevel"/>
    <w:tmpl w:val="8362BAE2"/>
    <w:lvl w:ilvl="0" w:tplc="04050009">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5DF36EFA"/>
    <w:multiLevelType w:val="hybridMultilevel"/>
    <w:tmpl w:val="7E3EA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00E4AC0"/>
    <w:multiLevelType w:val="hybridMultilevel"/>
    <w:tmpl w:val="B922FB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5065C06"/>
    <w:multiLevelType w:val="hybridMultilevel"/>
    <w:tmpl w:val="4E1E67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68C61D9"/>
    <w:multiLevelType w:val="hybridMultilevel"/>
    <w:tmpl w:val="50483ADC"/>
    <w:lvl w:ilvl="0" w:tplc="565EC61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7C94D1C"/>
    <w:multiLevelType w:val="hybridMultilevel"/>
    <w:tmpl w:val="4E466570"/>
    <w:lvl w:ilvl="0" w:tplc="04050009">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6EDF38B3"/>
    <w:multiLevelType w:val="hybridMultilevel"/>
    <w:tmpl w:val="D96240F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76F67B84"/>
    <w:multiLevelType w:val="multilevel"/>
    <w:tmpl w:val="57ACF5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7F0A6854"/>
    <w:multiLevelType w:val="hybridMultilevel"/>
    <w:tmpl w:val="1E64503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num>
  <w:num w:numId="2">
    <w:abstractNumId w:val="10"/>
  </w:num>
  <w:num w:numId="3">
    <w:abstractNumId w:val="16"/>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9"/>
  </w:num>
  <w:num w:numId="7">
    <w:abstractNumId w:val="20"/>
  </w:num>
  <w:num w:numId="8">
    <w:abstractNumId w:val="13"/>
  </w:num>
  <w:num w:numId="9">
    <w:abstractNumId w:val="1"/>
  </w:num>
  <w:num w:numId="10">
    <w:abstractNumId w:val="0"/>
  </w:num>
  <w:num w:numId="11">
    <w:abstractNumId w:val="25"/>
  </w:num>
  <w:num w:numId="12">
    <w:abstractNumId w:val="25"/>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5"/>
  </w:num>
  <w:num w:numId="20">
    <w:abstractNumId w:val="9"/>
  </w:num>
  <w:num w:numId="21">
    <w:abstractNumId w:val="6"/>
  </w:num>
  <w:num w:numId="22">
    <w:abstractNumId w:val="12"/>
  </w:num>
  <w:num w:numId="23">
    <w:abstractNumId w:val="4"/>
  </w:num>
  <w:num w:numId="24">
    <w:abstractNumId w:val="26"/>
  </w:num>
  <w:num w:numId="25">
    <w:abstractNumId w:val="24"/>
  </w:num>
  <w:num w:numId="26">
    <w:abstractNumId w:val="7"/>
  </w:num>
  <w:num w:numId="27">
    <w:abstractNumId w:val="3"/>
  </w:num>
  <w:num w:numId="28">
    <w:abstractNumId w:val="21"/>
  </w:num>
  <w:num w:numId="29">
    <w:abstractNumId w:val="11"/>
  </w:num>
  <w:num w:numId="30">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doNotTrackMoves/>
  <w:defaultTabStop w:val="708"/>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6791"/>
    <w:rsid w:val="00000190"/>
    <w:rsid w:val="00000B0F"/>
    <w:rsid w:val="00001B4E"/>
    <w:rsid w:val="00003AE3"/>
    <w:rsid w:val="00003B3F"/>
    <w:rsid w:val="00003B99"/>
    <w:rsid w:val="00004CCF"/>
    <w:rsid w:val="00004F63"/>
    <w:rsid w:val="00005A91"/>
    <w:rsid w:val="00005F30"/>
    <w:rsid w:val="00006326"/>
    <w:rsid w:val="00007270"/>
    <w:rsid w:val="0001067A"/>
    <w:rsid w:val="00010A8C"/>
    <w:rsid w:val="00011388"/>
    <w:rsid w:val="00011553"/>
    <w:rsid w:val="000115FE"/>
    <w:rsid w:val="000117B2"/>
    <w:rsid w:val="000119C5"/>
    <w:rsid w:val="00011C9B"/>
    <w:rsid w:val="000128ED"/>
    <w:rsid w:val="000133E4"/>
    <w:rsid w:val="0001372C"/>
    <w:rsid w:val="00013C43"/>
    <w:rsid w:val="000142F0"/>
    <w:rsid w:val="00014E32"/>
    <w:rsid w:val="00015375"/>
    <w:rsid w:val="00015920"/>
    <w:rsid w:val="0001613A"/>
    <w:rsid w:val="00016271"/>
    <w:rsid w:val="0001637D"/>
    <w:rsid w:val="00016F50"/>
    <w:rsid w:val="0001788A"/>
    <w:rsid w:val="00017C8A"/>
    <w:rsid w:val="00020222"/>
    <w:rsid w:val="00020279"/>
    <w:rsid w:val="000202ED"/>
    <w:rsid w:val="000205B3"/>
    <w:rsid w:val="00020A6F"/>
    <w:rsid w:val="000212DB"/>
    <w:rsid w:val="00021498"/>
    <w:rsid w:val="00021750"/>
    <w:rsid w:val="000224DA"/>
    <w:rsid w:val="00022F79"/>
    <w:rsid w:val="000232F4"/>
    <w:rsid w:val="0002335A"/>
    <w:rsid w:val="0002726F"/>
    <w:rsid w:val="00027DC7"/>
    <w:rsid w:val="000309E4"/>
    <w:rsid w:val="00030D22"/>
    <w:rsid w:val="0003194F"/>
    <w:rsid w:val="00032118"/>
    <w:rsid w:val="00032577"/>
    <w:rsid w:val="00034592"/>
    <w:rsid w:val="00034646"/>
    <w:rsid w:val="0003490B"/>
    <w:rsid w:val="00034DC9"/>
    <w:rsid w:val="00034EF8"/>
    <w:rsid w:val="00036DBB"/>
    <w:rsid w:val="00037DBE"/>
    <w:rsid w:val="00040324"/>
    <w:rsid w:val="00040559"/>
    <w:rsid w:val="00040646"/>
    <w:rsid w:val="00040BE9"/>
    <w:rsid w:val="000416E4"/>
    <w:rsid w:val="00041F37"/>
    <w:rsid w:val="000421A7"/>
    <w:rsid w:val="000426ED"/>
    <w:rsid w:val="000437B9"/>
    <w:rsid w:val="00044208"/>
    <w:rsid w:val="000453FF"/>
    <w:rsid w:val="0004552C"/>
    <w:rsid w:val="0004564B"/>
    <w:rsid w:val="00045CEF"/>
    <w:rsid w:val="0004603E"/>
    <w:rsid w:val="00046E97"/>
    <w:rsid w:val="000473CB"/>
    <w:rsid w:val="000475CC"/>
    <w:rsid w:val="0005043A"/>
    <w:rsid w:val="000505D8"/>
    <w:rsid w:val="00050E29"/>
    <w:rsid w:val="00052366"/>
    <w:rsid w:val="00052F15"/>
    <w:rsid w:val="0005397E"/>
    <w:rsid w:val="00053F76"/>
    <w:rsid w:val="0005498F"/>
    <w:rsid w:val="00054A0D"/>
    <w:rsid w:val="00055FDC"/>
    <w:rsid w:val="00056172"/>
    <w:rsid w:val="00060CBD"/>
    <w:rsid w:val="00061076"/>
    <w:rsid w:val="000612A6"/>
    <w:rsid w:val="000613A8"/>
    <w:rsid w:val="000628C2"/>
    <w:rsid w:val="0006291E"/>
    <w:rsid w:val="00063618"/>
    <w:rsid w:val="00063EF0"/>
    <w:rsid w:val="000648B9"/>
    <w:rsid w:val="0006492B"/>
    <w:rsid w:val="00065AAB"/>
    <w:rsid w:val="000670D6"/>
    <w:rsid w:val="00067228"/>
    <w:rsid w:val="0006779C"/>
    <w:rsid w:val="00070605"/>
    <w:rsid w:val="000710E1"/>
    <w:rsid w:val="000712C7"/>
    <w:rsid w:val="00071F1A"/>
    <w:rsid w:val="0007207E"/>
    <w:rsid w:val="00073494"/>
    <w:rsid w:val="00073887"/>
    <w:rsid w:val="00074D75"/>
    <w:rsid w:val="00076572"/>
    <w:rsid w:val="00076ADC"/>
    <w:rsid w:val="00081304"/>
    <w:rsid w:val="00081896"/>
    <w:rsid w:val="000834B3"/>
    <w:rsid w:val="0008492C"/>
    <w:rsid w:val="00084ADD"/>
    <w:rsid w:val="00084DA2"/>
    <w:rsid w:val="0008557E"/>
    <w:rsid w:val="000859AA"/>
    <w:rsid w:val="00085D44"/>
    <w:rsid w:val="00085D59"/>
    <w:rsid w:val="0008672F"/>
    <w:rsid w:val="0008712F"/>
    <w:rsid w:val="00087906"/>
    <w:rsid w:val="00087DD4"/>
    <w:rsid w:val="00087F30"/>
    <w:rsid w:val="00087F7C"/>
    <w:rsid w:val="00090689"/>
    <w:rsid w:val="00090A59"/>
    <w:rsid w:val="00091104"/>
    <w:rsid w:val="000920D2"/>
    <w:rsid w:val="00093423"/>
    <w:rsid w:val="00093DAD"/>
    <w:rsid w:val="00093EA0"/>
    <w:rsid w:val="00094066"/>
    <w:rsid w:val="00094D31"/>
    <w:rsid w:val="000952A9"/>
    <w:rsid w:val="000954DE"/>
    <w:rsid w:val="00095790"/>
    <w:rsid w:val="00095EFC"/>
    <w:rsid w:val="00096C17"/>
    <w:rsid w:val="00096E65"/>
    <w:rsid w:val="00097DAD"/>
    <w:rsid w:val="000A07B7"/>
    <w:rsid w:val="000A0A23"/>
    <w:rsid w:val="000A0D0E"/>
    <w:rsid w:val="000A2D98"/>
    <w:rsid w:val="000A458D"/>
    <w:rsid w:val="000A5CEC"/>
    <w:rsid w:val="000A6A59"/>
    <w:rsid w:val="000A6F0D"/>
    <w:rsid w:val="000A7DF2"/>
    <w:rsid w:val="000B01E0"/>
    <w:rsid w:val="000B02A4"/>
    <w:rsid w:val="000B0C1B"/>
    <w:rsid w:val="000B0F82"/>
    <w:rsid w:val="000B1D23"/>
    <w:rsid w:val="000B2CF9"/>
    <w:rsid w:val="000B367A"/>
    <w:rsid w:val="000B3ADE"/>
    <w:rsid w:val="000B3F3B"/>
    <w:rsid w:val="000B52D7"/>
    <w:rsid w:val="000B5B42"/>
    <w:rsid w:val="000B64E6"/>
    <w:rsid w:val="000B6BE3"/>
    <w:rsid w:val="000B6E35"/>
    <w:rsid w:val="000B6FE1"/>
    <w:rsid w:val="000C013D"/>
    <w:rsid w:val="000C0246"/>
    <w:rsid w:val="000C2C49"/>
    <w:rsid w:val="000C31B4"/>
    <w:rsid w:val="000C3775"/>
    <w:rsid w:val="000C44BF"/>
    <w:rsid w:val="000C48CA"/>
    <w:rsid w:val="000C5679"/>
    <w:rsid w:val="000C5750"/>
    <w:rsid w:val="000C5A1A"/>
    <w:rsid w:val="000C6738"/>
    <w:rsid w:val="000C6CFB"/>
    <w:rsid w:val="000C6F44"/>
    <w:rsid w:val="000C6F80"/>
    <w:rsid w:val="000D09B0"/>
    <w:rsid w:val="000D22F7"/>
    <w:rsid w:val="000D2488"/>
    <w:rsid w:val="000D33BF"/>
    <w:rsid w:val="000D3A71"/>
    <w:rsid w:val="000D3C2B"/>
    <w:rsid w:val="000D3CBB"/>
    <w:rsid w:val="000D4044"/>
    <w:rsid w:val="000D4E56"/>
    <w:rsid w:val="000D53C2"/>
    <w:rsid w:val="000D57D2"/>
    <w:rsid w:val="000D63C5"/>
    <w:rsid w:val="000D7507"/>
    <w:rsid w:val="000D77C0"/>
    <w:rsid w:val="000D7963"/>
    <w:rsid w:val="000D7C05"/>
    <w:rsid w:val="000D7E59"/>
    <w:rsid w:val="000E0321"/>
    <w:rsid w:val="000E05DC"/>
    <w:rsid w:val="000E3E83"/>
    <w:rsid w:val="000E4366"/>
    <w:rsid w:val="000E55F3"/>
    <w:rsid w:val="000E6291"/>
    <w:rsid w:val="000E6500"/>
    <w:rsid w:val="000E6D72"/>
    <w:rsid w:val="000F0442"/>
    <w:rsid w:val="000F1857"/>
    <w:rsid w:val="000F1949"/>
    <w:rsid w:val="000F3DC2"/>
    <w:rsid w:val="000F4189"/>
    <w:rsid w:val="000F4A77"/>
    <w:rsid w:val="000F5B85"/>
    <w:rsid w:val="000F6A4B"/>
    <w:rsid w:val="000F6AEB"/>
    <w:rsid w:val="000F6F17"/>
    <w:rsid w:val="000F7B35"/>
    <w:rsid w:val="000F7BCF"/>
    <w:rsid w:val="000F7C9A"/>
    <w:rsid w:val="000F7E33"/>
    <w:rsid w:val="000F7F0A"/>
    <w:rsid w:val="00100A7F"/>
    <w:rsid w:val="001012DB"/>
    <w:rsid w:val="00101306"/>
    <w:rsid w:val="00102435"/>
    <w:rsid w:val="001030DB"/>
    <w:rsid w:val="001050A2"/>
    <w:rsid w:val="001057B2"/>
    <w:rsid w:val="00105ED7"/>
    <w:rsid w:val="00106CC8"/>
    <w:rsid w:val="001070D8"/>
    <w:rsid w:val="001071EF"/>
    <w:rsid w:val="001074FE"/>
    <w:rsid w:val="00107643"/>
    <w:rsid w:val="001078C8"/>
    <w:rsid w:val="00107CCA"/>
    <w:rsid w:val="0011008C"/>
    <w:rsid w:val="00112085"/>
    <w:rsid w:val="001127A3"/>
    <w:rsid w:val="0011280B"/>
    <w:rsid w:val="00112C27"/>
    <w:rsid w:val="00113501"/>
    <w:rsid w:val="001136B3"/>
    <w:rsid w:val="00113842"/>
    <w:rsid w:val="001151C7"/>
    <w:rsid w:val="001152C7"/>
    <w:rsid w:val="001160A8"/>
    <w:rsid w:val="001163CF"/>
    <w:rsid w:val="00116485"/>
    <w:rsid w:val="0011681A"/>
    <w:rsid w:val="00116A3A"/>
    <w:rsid w:val="00116FFB"/>
    <w:rsid w:val="00117A49"/>
    <w:rsid w:val="00117D0C"/>
    <w:rsid w:val="00120B2B"/>
    <w:rsid w:val="00120EFA"/>
    <w:rsid w:val="00121F54"/>
    <w:rsid w:val="0012257A"/>
    <w:rsid w:val="00123347"/>
    <w:rsid w:val="00123771"/>
    <w:rsid w:val="00123997"/>
    <w:rsid w:val="00126DBF"/>
    <w:rsid w:val="00127014"/>
    <w:rsid w:val="0012750B"/>
    <w:rsid w:val="001303D1"/>
    <w:rsid w:val="001306D2"/>
    <w:rsid w:val="00130E70"/>
    <w:rsid w:val="00132155"/>
    <w:rsid w:val="00133439"/>
    <w:rsid w:val="0013398B"/>
    <w:rsid w:val="00133AFB"/>
    <w:rsid w:val="0013470E"/>
    <w:rsid w:val="001354CF"/>
    <w:rsid w:val="00135B38"/>
    <w:rsid w:val="001376FC"/>
    <w:rsid w:val="001377D9"/>
    <w:rsid w:val="001406D9"/>
    <w:rsid w:val="001407FA"/>
    <w:rsid w:val="001410AA"/>
    <w:rsid w:val="001418DB"/>
    <w:rsid w:val="00141A1B"/>
    <w:rsid w:val="001425DA"/>
    <w:rsid w:val="00143272"/>
    <w:rsid w:val="001437E5"/>
    <w:rsid w:val="00145D26"/>
    <w:rsid w:val="0014660F"/>
    <w:rsid w:val="001509A6"/>
    <w:rsid w:val="00150F47"/>
    <w:rsid w:val="001514DD"/>
    <w:rsid w:val="001517C8"/>
    <w:rsid w:val="00152BE8"/>
    <w:rsid w:val="00152D52"/>
    <w:rsid w:val="00153A02"/>
    <w:rsid w:val="00153D97"/>
    <w:rsid w:val="001542C9"/>
    <w:rsid w:val="00155255"/>
    <w:rsid w:val="0015605B"/>
    <w:rsid w:val="00156429"/>
    <w:rsid w:val="00157190"/>
    <w:rsid w:val="00160BDD"/>
    <w:rsid w:val="00160C91"/>
    <w:rsid w:val="00160FDE"/>
    <w:rsid w:val="0016222D"/>
    <w:rsid w:val="00162A57"/>
    <w:rsid w:val="00162B28"/>
    <w:rsid w:val="00162CE1"/>
    <w:rsid w:val="00163083"/>
    <w:rsid w:val="00163F15"/>
    <w:rsid w:val="00164447"/>
    <w:rsid w:val="00164DD3"/>
    <w:rsid w:val="00165D9A"/>
    <w:rsid w:val="00166614"/>
    <w:rsid w:val="00167949"/>
    <w:rsid w:val="00170501"/>
    <w:rsid w:val="00170842"/>
    <w:rsid w:val="00170AA9"/>
    <w:rsid w:val="001717E4"/>
    <w:rsid w:val="00172D64"/>
    <w:rsid w:val="00173266"/>
    <w:rsid w:val="00173284"/>
    <w:rsid w:val="00173E99"/>
    <w:rsid w:val="00173F9D"/>
    <w:rsid w:val="0017461F"/>
    <w:rsid w:val="00174933"/>
    <w:rsid w:val="00175067"/>
    <w:rsid w:val="00175BD2"/>
    <w:rsid w:val="00176074"/>
    <w:rsid w:val="0017694E"/>
    <w:rsid w:val="00177002"/>
    <w:rsid w:val="00180049"/>
    <w:rsid w:val="001807CF"/>
    <w:rsid w:val="00180972"/>
    <w:rsid w:val="00180A68"/>
    <w:rsid w:val="00181596"/>
    <w:rsid w:val="00181FFF"/>
    <w:rsid w:val="00182642"/>
    <w:rsid w:val="0018340B"/>
    <w:rsid w:val="001839D0"/>
    <w:rsid w:val="0018416B"/>
    <w:rsid w:val="00185B77"/>
    <w:rsid w:val="0018623A"/>
    <w:rsid w:val="001868CA"/>
    <w:rsid w:val="00186FE7"/>
    <w:rsid w:val="00191D5A"/>
    <w:rsid w:val="0019366D"/>
    <w:rsid w:val="001944E0"/>
    <w:rsid w:val="0019454B"/>
    <w:rsid w:val="00194755"/>
    <w:rsid w:val="001949D7"/>
    <w:rsid w:val="00195109"/>
    <w:rsid w:val="00195382"/>
    <w:rsid w:val="00195BB1"/>
    <w:rsid w:val="0019633B"/>
    <w:rsid w:val="0019657E"/>
    <w:rsid w:val="00196843"/>
    <w:rsid w:val="001A043E"/>
    <w:rsid w:val="001A09CA"/>
    <w:rsid w:val="001A101B"/>
    <w:rsid w:val="001A1618"/>
    <w:rsid w:val="001A1E56"/>
    <w:rsid w:val="001A25B7"/>
    <w:rsid w:val="001A3530"/>
    <w:rsid w:val="001A51B4"/>
    <w:rsid w:val="001A5880"/>
    <w:rsid w:val="001A5FE5"/>
    <w:rsid w:val="001A69FC"/>
    <w:rsid w:val="001A7167"/>
    <w:rsid w:val="001A73BB"/>
    <w:rsid w:val="001A73EF"/>
    <w:rsid w:val="001A77B7"/>
    <w:rsid w:val="001B0866"/>
    <w:rsid w:val="001B2213"/>
    <w:rsid w:val="001B2429"/>
    <w:rsid w:val="001B2B98"/>
    <w:rsid w:val="001B2FB3"/>
    <w:rsid w:val="001B346E"/>
    <w:rsid w:val="001B4D12"/>
    <w:rsid w:val="001B6897"/>
    <w:rsid w:val="001B69B5"/>
    <w:rsid w:val="001B7650"/>
    <w:rsid w:val="001B7DEF"/>
    <w:rsid w:val="001B7E9B"/>
    <w:rsid w:val="001C02DE"/>
    <w:rsid w:val="001C0CD2"/>
    <w:rsid w:val="001C1568"/>
    <w:rsid w:val="001C1C07"/>
    <w:rsid w:val="001C1CA4"/>
    <w:rsid w:val="001C1EF9"/>
    <w:rsid w:val="001C2542"/>
    <w:rsid w:val="001C2557"/>
    <w:rsid w:val="001C2566"/>
    <w:rsid w:val="001C261D"/>
    <w:rsid w:val="001C2C2A"/>
    <w:rsid w:val="001C38CB"/>
    <w:rsid w:val="001C3F51"/>
    <w:rsid w:val="001C4867"/>
    <w:rsid w:val="001C54AF"/>
    <w:rsid w:val="001C57C0"/>
    <w:rsid w:val="001C5E6F"/>
    <w:rsid w:val="001C62D9"/>
    <w:rsid w:val="001C669B"/>
    <w:rsid w:val="001C6AB8"/>
    <w:rsid w:val="001C6CE1"/>
    <w:rsid w:val="001C7A66"/>
    <w:rsid w:val="001C7BAA"/>
    <w:rsid w:val="001D0770"/>
    <w:rsid w:val="001D07F3"/>
    <w:rsid w:val="001D0921"/>
    <w:rsid w:val="001D0AA8"/>
    <w:rsid w:val="001D222E"/>
    <w:rsid w:val="001D2931"/>
    <w:rsid w:val="001D29B2"/>
    <w:rsid w:val="001D29FC"/>
    <w:rsid w:val="001D2FB0"/>
    <w:rsid w:val="001D3152"/>
    <w:rsid w:val="001D4E2F"/>
    <w:rsid w:val="001D570C"/>
    <w:rsid w:val="001D67C8"/>
    <w:rsid w:val="001D6931"/>
    <w:rsid w:val="001D6F82"/>
    <w:rsid w:val="001D7603"/>
    <w:rsid w:val="001E033F"/>
    <w:rsid w:val="001E17E7"/>
    <w:rsid w:val="001E19EA"/>
    <w:rsid w:val="001E22C2"/>
    <w:rsid w:val="001E2B4A"/>
    <w:rsid w:val="001E428A"/>
    <w:rsid w:val="001E46C0"/>
    <w:rsid w:val="001E4D34"/>
    <w:rsid w:val="001E535B"/>
    <w:rsid w:val="001E556C"/>
    <w:rsid w:val="001E6724"/>
    <w:rsid w:val="001E6A8A"/>
    <w:rsid w:val="001E6ECF"/>
    <w:rsid w:val="001F023C"/>
    <w:rsid w:val="001F03D3"/>
    <w:rsid w:val="001F057E"/>
    <w:rsid w:val="001F078E"/>
    <w:rsid w:val="001F07A2"/>
    <w:rsid w:val="001F15EE"/>
    <w:rsid w:val="001F17D9"/>
    <w:rsid w:val="001F18DA"/>
    <w:rsid w:val="001F2399"/>
    <w:rsid w:val="001F265C"/>
    <w:rsid w:val="001F39D9"/>
    <w:rsid w:val="001F3A2F"/>
    <w:rsid w:val="001F3A77"/>
    <w:rsid w:val="001F424B"/>
    <w:rsid w:val="001F4672"/>
    <w:rsid w:val="001F49F9"/>
    <w:rsid w:val="001F54D2"/>
    <w:rsid w:val="001F591C"/>
    <w:rsid w:val="001F5BD2"/>
    <w:rsid w:val="00200191"/>
    <w:rsid w:val="002003EE"/>
    <w:rsid w:val="00201426"/>
    <w:rsid w:val="00201768"/>
    <w:rsid w:val="002017A9"/>
    <w:rsid w:val="00202F4B"/>
    <w:rsid w:val="00203098"/>
    <w:rsid w:val="00203A6E"/>
    <w:rsid w:val="00203CA4"/>
    <w:rsid w:val="00204067"/>
    <w:rsid w:val="00204123"/>
    <w:rsid w:val="00204734"/>
    <w:rsid w:val="00204786"/>
    <w:rsid w:val="002058E6"/>
    <w:rsid w:val="00205CC7"/>
    <w:rsid w:val="00205F32"/>
    <w:rsid w:val="0020619C"/>
    <w:rsid w:val="002063AD"/>
    <w:rsid w:val="0020659B"/>
    <w:rsid w:val="00206D06"/>
    <w:rsid w:val="0020713F"/>
    <w:rsid w:val="00207518"/>
    <w:rsid w:val="00207A99"/>
    <w:rsid w:val="00210E69"/>
    <w:rsid w:val="00210F4E"/>
    <w:rsid w:val="002110C1"/>
    <w:rsid w:val="00211B9A"/>
    <w:rsid w:val="0021254B"/>
    <w:rsid w:val="002128A2"/>
    <w:rsid w:val="00215364"/>
    <w:rsid w:val="00215B13"/>
    <w:rsid w:val="00216323"/>
    <w:rsid w:val="002163F2"/>
    <w:rsid w:val="00216DA9"/>
    <w:rsid w:val="00217A47"/>
    <w:rsid w:val="00217C9C"/>
    <w:rsid w:val="0022036D"/>
    <w:rsid w:val="00220A68"/>
    <w:rsid w:val="00220C65"/>
    <w:rsid w:val="00221181"/>
    <w:rsid w:val="002232A7"/>
    <w:rsid w:val="002232D8"/>
    <w:rsid w:val="00223A89"/>
    <w:rsid w:val="00224C81"/>
    <w:rsid w:val="00225985"/>
    <w:rsid w:val="00225ACC"/>
    <w:rsid w:val="00225C0A"/>
    <w:rsid w:val="00225FF8"/>
    <w:rsid w:val="002265BD"/>
    <w:rsid w:val="00226B00"/>
    <w:rsid w:val="002272A1"/>
    <w:rsid w:val="00227549"/>
    <w:rsid w:val="0022774C"/>
    <w:rsid w:val="002311FF"/>
    <w:rsid w:val="00231740"/>
    <w:rsid w:val="00232677"/>
    <w:rsid w:val="00233921"/>
    <w:rsid w:val="002339FC"/>
    <w:rsid w:val="00234198"/>
    <w:rsid w:val="0023527B"/>
    <w:rsid w:val="002353D6"/>
    <w:rsid w:val="00235515"/>
    <w:rsid w:val="0023578E"/>
    <w:rsid w:val="002401C9"/>
    <w:rsid w:val="002414A3"/>
    <w:rsid w:val="00241974"/>
    <w:rsid w:val="00241D93"/>
    <w:rsid w:val="0024310A"/>
    <w:rsid w:val="002431D2"/>
    <w:rsid w:val="00244F76"/>
    <w:rsid w:val="00244F8F"/>
    <w:rsid w:val="00245C23"/>
    <w:rsid w:val="0024608E"/>
    <w:rsid w:val="002469D0"/>
    <w:rsid w:val="00246ED3"/>
    <w:rsid w:val="00247057"/>
    <w:rsid w:val="0024776D"/>
    <w:rsid w:val="00247B97"/>
    <w:rsid w:val="00247DFC"/>
    <w:rsid w:val="00250791"/>
    <w:rsid w:val="00251550"/>
    <w:rsid w:val="00251DEB"/>
    <w:rsid w:val="00252D19"/>
    <w:rsid w:val="00252FAE"/>
    <w:rsid w:val="00253E2C"/>
    <w:rsid w:val="0025512B"/>
    <w:rsid w:val="00255372"/>
    <w:rsid w:val="00255519"/>
    <w:rsid w:val="00255AFE"/>
    <w:rsid w:val="00256211"/>
    <w:rsid w:val="00256BDB"/>
    <w:rsid w:val="00256F03"/>
    <w:rsid w:val="00257653"/>
    <w:rsid w:val="0025774B"/>
    <w:rsid w:val="00257B09"/>
    <w:rsid w:val="00257B5E"/>
    <w:rsid w:val="00260031"/>
    <w:rsid w:val="00260382"/>
    <w:rsid w:val="00261979"/>
    <w:rsid w:val="00261FB7"/>
    <w:rsid w:val="0026266D"/>
    <w:rsid w:val="002636BA"/>
    <w:rsid w:val="002650A8"/>
    <w:rsid w:val="002659DF"/>
    <w:rsid w:val="002660A1"/>
    <w:rsid w:val="00266AE4"/>
    <w:rsid w:val="00267535"/>
    <w:rsid w:val="0027011E"/>
    <w:rsid w:val="00270E40"/>
    <w:rsid w:val="0027156A"/>
    <w:rsid w:val="002719EF"/>
    <w:rsid w:val="00271A31"/>
    <w:rsid w:val="00271E4E"/>
    <w:rsid w:val="00272C36"/>
    <w:rsid w:val="00272EC7"/>
    <w:rsid w:val="00273116"/>
    <w:rsid w:val="0027368A"/>
    <w:rsid w:val="00274FD7"/>
    <w:rsid w:val="00275695"/>
    <w:rsid w:val="002763E1"/>
    <w:rsid w:val="002766FB"/>
    <w:rsid w:val="002769EC"/>
    <w:rsid w:val="002776E7"/>
    <w:rsid w:val="00280154"/>
    <w:rsid w:val="002803AA"/>
    <w:rsid w:val="002805A2"/>
    <w:rsid w:val="002808B0"/>
    <w:rsid w:val="00280A70"/>
    <w:rsid w:val="00280ADD"/>
    <w:rsid w:val="00280F94"/>
    <w:rsid w:val="00281260"/>
    <w:rsid w:val="00281B4C"/>
    <w:rsid w:val="002820F0"/>
    <w:rsid w:val="002826B7"/>
    <w:rsid w:val="00282834"/>
    <w:rsid w:val="0028394D"/>
    <w:rsid w:val="00283B70"/>
    <w:rsid w:val="00284913"/>
    <w:rsid w:val="00284AEF"/>
    <w:rsid w:val="002854EB"/>
    <w:rsid w:val="002857E6"/>
    <w:rsid w:val="00285FBF"/>
    <w:rsid w:val="00286D86"/>
    <w:rsid w:val="00286E9D"/>
    <w:rsid w:val="00286EC7"/>
    <w:rsid w:val="00287D61"/>
    <w:rsid w:val="00290B28"/>
    <w:rsid w:val="00290D1D"/>
    <w:rsid w:val="00291264"/>
    <w:rsid w:val="00291765"/>
    <w:rsid w:val="0029239D"/>
    <w:rsid w:val="00292CDB"/>
    <w:rsid w:val="00293781"/>
    <w:rsid w:val="00293E31"/>
    <w:rsid w:val="00293E33"/>
    <w:rsid w:val="00294185"/>
    <w:rsid w:val="00294289"/>
    <w:rsid w:val="00294CE1"/>
    <w:rsid w:val="00294F7D"/>
    <w:rsid w:val="0029528E"/>
    <w:rsid w:val="00295F24"/>
    <w:rsid w:val="0029654B"/>
    <w:rsid w:val="00296FC6"/>
    <w:rsid w:val="002970CE"/>
    <w:rsid w:val="002976E3"/>
    <w:rsid w:val="00297F4F"/>
    <w:rsid w:val="002A00B6"/>
    <w:rsid w:val="002A0BBE"/>
    <w:rsid w:val="002A0CC2"/>
    <w:rsid w:val="002A1BB5"/>
    <w:rsid w:val="002A3ADE"/>
    <w:rsid w:val="002A4C2B"/>
    <w:rsid w:val="002A4F9F"/>
    <w:rsid w:val="002A504E"/>
    <w:rsid w:val="002A5A6F"/>
    <w:rsid w:val="002A6528"/>
    <w:rsid w:val="002A7455"/>
    <w:rsid w:val="002A752C"/>
    <w:rsid w:val="002B0A90"/>
    <w:rsid w:val="002B1176"/>
    <w:rsid w:val="002B16C4"/>
    <w:rsid w:val="002B2286"/>
    <w:rsid w:val="002B2627"/>
    <w:rsid w:val="002B2784"/>
    <w:rsid w:val="002B5838"/>
    <w:rsid w:val="002B5846"/>
    <w:rsid w:val="002B6078"/>
    <w:rsid w:val="002B7B18"/>
    <w:rsid w:val="002B7D93"/>
    <w:rsid w:val="002C051A"/>
    <w:rsid w:val="002C075D"/>
    <w:rsid w:val="002C0A52"/>
    <w:rsid w:val="002C0B75"/>
    <w:rsid w:val="002C12F1"/>
    <w:rsid w:val="002C1729"/>
    <w:rsid w:val="002C206B"/>
    <w:rsid w:val="002C39D1"/>
    <w:rsid w:val="002C45F1"/>
    <w:rsid w:val="002C462C"/>
    <w:rsid w:val="002C4C88"/>
    <w:rsid w:val="002C4EE8"/>
    <w:rsid w:val="002C5686"/>
    <w:rsid w:val="002C697D"/>
    <w:rsid w:val="002C7696"/>
    <w:rsid w:val="002C79B2"/>
    <w:rsid w:val="002C7D69"/>
    <w:rsid w:val="002D0490"/>
    <w:rsid w:val="002D094F"/>
    <w:rsid w:val="002D0959"/>
    <w:rsid w:val="002D15DA"/>
    <w:rsid w:val="002D2BC9"/>
    <w:rsid w:val="002D2CEF"/>
    <w:rsid w:val="002D3249"/>
    <w:rsid w:val="002D3569"/>
    <w:rsid w:val="002D3C02"/>
    <w:rsid w:val="002D3CBA"/>
    <w:rsid w:val="002D4884"/>
    <w:rsid w:val="002D4F16"/>
    <w:rsid w:val="002D510F"/>
    <w:rsid w:val="002D554D"/>
    <w:rsid w:val="002D5D76"/>
    <w:rsid w:val="002D5F2D"/>
    <w:rsid w:val="002D5F56"/>
    <w:rsid w:val="002D7347"/>
    <w:rsid w:val="002D76FF"/>
    <w:rsid w:val="002E1068"/>
    <w:rsid w:val="002E12C7"/>
    <w:rsid w:val="002E1593"/>
    <w:rsid w:val="002E1B06"/>
    <w:rsid w:val="002E1B9B"/>
    <w:rsid w:val="002E1D26"/>
    <w:rsid w:val="002E2525"/>
    <w:rsid w:val="002E3BA6"/>
    <w:rsid w:val="002E4058"/>
    <w:rsid w:val="002E4682"/>
    <w:rsid w:val="002E48E0"/>
    <w:rsid w:val="002E4AF5"/>
    <w:rsid w:val="002E4E77"/>
    <w:rsid w:val="002E522D"/>
    <w:rsid w:val="002E5B84"/>
    <w:rsid w:val="002E7678"/>
    <w:rsid w:val="002E7C9A"/>
    <w:rsid w:val="002E7D68"/>
    <w:rsid w:val="002F14F8"/>
    <w:rsid w:val="002F2065"/>
    <w:rsid w:val="002F250F"/>
    <w:rsid w:val="002F30BE"/>
    <w:rsid w:val="002F3219"/>
    <w:rsid w:val="002F3542"/>
    <w:rsid w:val="002F3949"/>
    <w:rsid w:val="002F3C61"/>
    <w:rsid w:val="002F47D9"/>
    <w:rsid w:val="002F4F91"/>
    <w:rsid w:val="002F51A3"/>
    <w:rsid w:val="002F5557"/>
    <w:rsid w:val="002F58C0"/>
    <w:rsid w:val="002F5906"/>
    <w:rsid w:val="002F630F"/>
    <w:rsid w:val="002F6CCE"/>
    <w:rsid w:val="002F73A4"/>
    <w:rsid w:val="002F7439"/>
    <w:rsid w:val="00300B09"/>
    <w:rsid w:val="00301358"/>
    <w:rsid w:val="00301497"/>
    <w:rsid w:val="003029BA"/>
    <w:rsid w:val="003034B2"/>
    <w:rsid w:val="003034B9"/>
    <w:rsid w:val="00303DA8"/>
    <w:rsid w:val="00303FA8"/>
    <w:rsid w:val="003042E4"/>
    <w:rsid w:val="0030448B"/>
    <w:rsid w:val="003044B4"/>
    <w:rsid w:val="003045FC"/>
    <w:rsid w:val="00304DB0"/>
    <w:rsid w:val="00305DFA"/>
    <w:rsid w:val="00306A87"/>
    <w:rsid w:val="00306DB6"/>
    <w:rsid w:val="00307E57"/>
    <w:rsid w:val="00310411"/>
    <w:rsid w:val="003104DC"/>
    <w:rsid w:val="003113E6"/>
    <w:rsid w:val="00311DDE"/>
    <w:rsid w:val="0031220D"/>
    <w:rsid w:val="00313F98"/>
    <w:rsid w:val="00314475"/>
    <w:rsid w:val="00314698"/>
    <w:rsid w:val="00314968"/>
    <w:rsid w:val="00314DCB"/>
    <w:rsid w:val="00314ECF"/>
    <w:rsid w:val="00315037"/>
    <w:rsid w:val="003157FB"/>
    <w:rsid w:val="003158FE"/>
    <w:rsid w:val="00316382"/>
    <w:rsid w:val="003166E3"/>
    <w:rsid w:val="003167D7"/>
    <w:rsid w:val="00316E89"/>
    <w:rsid w:val="0031754A"/>
    <w:rsid w:val="00317736"/>
    <w:rsid w:val="00317DBD"/>
    <w:rsid w:val="003200C5"/>
    <w:rsid w:val="00320381"/>
    <w:rsid w:val="0032084E"/>
    <w:rsid w:val="00320AEF"/>
    <w:rsid w:val="00321257"/>
    <w:rsid w:val="00321465"/>
    <w:rsid w:val="00322090"/>
    <w:rsid w:val="003222C1"/>
    <w:rsid w:val="0032315F"/>
    <w:rsid w:val="0032329E"/>
    <w:rsid w:val="003232F7"/>
    <w:rsid w:val="003239C3"/>
    <w:rsid w:val="003242A4"/>
    <w:rsid w:val="00324685"/>
    <w:rsid w:val="0032475A"/>
    <w:rsid w:val="00326525"/>
    <w:rsid w:val="00327446"/>
    <w:rsid w:val="0033059B"/>
    <w:rsid w:val="00330A66"/>
    <w:rsid w:val="00330FB9"/>
    <w:rsid w:val="00331442"/>
    <w:rsid w:val="00332DCF"/>
    <w:rsid w:val="003337AE"/>
    <w:rsid w:val="00333A64"/>
    <w:rsid w:val="00335A4B"/>
    <w:rsid w:val="0033613F"/>
    <w:rsid w:val="003361D0"/>
    <w:rsid w:val="00336A56"/>
    <w:rsid w:val="00337694"/>
    <w:rsid w:val="00337C2F"/>
    <w:rsid w:val="00340656"/>
    <w:rsid w:val="003406B3"/>
    <w:rsid w:val="0034086C"/>
    <w:rsid w:val="00340F0B"/>
    <w:rsid w:val="00341022"/>
    <w:rsid w:val="0034122D"/>
    <w:rsid w:val="003421FF"/>
    <w:rsid w:val="0034535C"/>
    <w:rsid w:val="00345363"/>
    <w:rsid w:val="00345575"/>
    <w:rsid w:val="00345816"/>
    <w:rsid w:val="00345FB2"/>
    <w:rsid w:val="00345FF7"/>
    <w:rsid w:val="0034643C"/>
    <w:rsid w:val="00346D61"/>
    <w:rsid w:val="0034717F"/>
    <w:rsid w:val="00347742"/>
    <w:rsid w:val="00347C72"/>
    <w:rsid w:val="00351764"/>
    <w:rsid w:val="003517AB"/>
    <w:rsid w:val="00351854"/>
    <w:rsid w:val="00351A4F"/>
    <w:rsid w:val="00351DD4"/>
    <w:rsid w:val="003527FD"/>
    <w:rsid w:val="00352E54"/>
    <w:rsid w:val="00353941"/>
    <w:rsid w:val="00353EE4"/>
    <w:rsid w:val="00353FE2"/>
    <w:rsid w:val="003559DE"/>
    <w:rsid w:val="00355CEB"/>
    <w:rsid w:val="00355E89"/>
    <w:rsid w:val="00356930"/>
    <w:rsid w:val="0035706A"/>
    <w:rsid w:val="003573E7"/>
    <w:rsid w:val="0036064B"/>
    <w:rsid w:val="00360BEA"/>
    <w:rsid w:val="00361A59"/>
    <w:rsid w:val="003622FC"/>
    <w:rsid w:val="003638B5"/>
    <w:rsid w:val="00363E22"/>
    <w:rsid w:val="00364B58"/>
    <w:rsid w:val="00364C91"/>
    <w:rsid w:val="003652F7"/>
    <w:rsid w:val="003660F2"/>
    <w:rsid w:val="00366624"/>
    <w:rsid w:val="00366F64"/>
    <w:rsid w:val="0036792B"/>
    <w:rsid w:val="00370728"/>
    <w:rsid w:val="00370B88"/>
    <w:rsid w:val="00370C7F"/>
    <w:rsid w:val="00371790"/>
    <w:rsid w:val="003722B7"/>
    <w:rsid w:val="0037324D"/>
    <w:rsid w:val="0037468D"/>
    <w:rsid w:val="003752C0"/>
    <w:rsid w:val="00375BEB"/>
    <w:rsid w:val="00375D41"/>
    <w:rsid w:val="00376A0D"/>
    <w:rsid w:val="00377ADF"/>
    <w:rsid w:val="003801F8"/>
    <w:rsid w:val="00380BEC"/>
    <w:rsid w:val="00380EBA"/>
    <w:rsid w:val="00382472"/>
    <w:rsid w:val="00382E9D"/>
    <w:rsid w:val="00383976"/>
    <w:rsid w:val="00383BCF"/>
    <w:rsid w:val="00383D5B"/>
    <w:rsid w:val="00383FDE"/>
    <w:rsid w:val="00384C74"/>
    <w:rsid w:val="00386557"/>
    <w:rsid w:val="003868EE"/>
    <w:rsid w:val="00387224"/>
    <w:rsid w:val="00387AB9"/>
    <w:rsid w:val="00387C4F"/>
    <w:rsid w:val="003902E7"/>
    <w:rsid w:val="003920E1"/>
    <w:rsid w:val="00392166"/>
    <w:rsid w:val="00392F6C"/>
    <w:rsid w:val="003947C8"/>
    <w:rsid w:val="003952B9"/>
    <w:rsid w:val="00395424"/>
    <w:rsid w:val="00396EEF"/>
    <w:rsid w:val="00396F22"/>
    <w:rsid w:val="0039739F"/>
    <w:rsid w:val="00397EC0"/>
    <w:rsid w:val="00397F1A"/>
    <w:rsid w:val="003A0573"/>
    <w:rsid w:val="003A1135"/>
    <w:rsid w:val="003A26DA"/>
    <w:rsid w:val="003A2AD0"/>
    <w:rsid w:val="003A3005"/>
    <w:rsid w:val="003A3658"/>
    <w:rsid w:val="003A3779"/>
    <w:rsid w:val="003A39CB"/>
    <w:rsid w:val="003A4395"/>
    <w:rsid w:val="003A609B"/>
    <w:rsid w:val="003A61B4"/>
    <w:rsid w:val="003A6D73"/>
    <w:rsid w:val="003A7BD5"/>
    <w:rsid w:val="003B02A4"/>
    <w:rsid w:val="003B0A04"/>
    <w:rsid w:val="003B1DB3"/>
    <w:rsid w:val="003B1EFF"/>
    <w:rsid w:val="003B2188"/>
    <w:rsid w:val="003B22A2"/>
    <w:rsid w:val="003B2319"/>
    <w:rsid w:val="003B2C1B"/>
    <w:rsid w:val="003B33CC"/>
    <w:rsid w:val="003B4866"/>
    <w:rsid w:val="003B4AF0"/>
    <w:rsid w:val="003B5085"/>
    <w:rsid w:val="003B510E"/>
    <w:rsid w:val="003B683A"/>
    <w:rsid w:val="003B6BC4"/>
    <w:rsid w:val="003C0286"/>
    <w:rsid w:val="003C041A"/>
    <w:rsid w:val="003C054E"/>
    <w:rsid w:val="003C05DA"/>
    <w:rsid w:val="003C1336"/>
    <w:rsid w:val="003C17A2"/>
    <w:rsid w:val="003C1979"/>
    <w:rsid w:val="003C1C74"/>
    <w:rsid w:val="003C263B"/>
    <w:rsid w:val="003C282D"/>
    <w:rsid w:val="003C282E"/>
    <w:rsid w:val="003C296D"/>
    <w:rsid w:val="003C34A6"/>
    <w:rsid w:val="003C3E6F"/>
    <w:rsid w:val="003C5428"/>
    <w:rsid w:val="003C5A0C"/>
    <w:rsid w:val="003C5AC5"/>
    <w:rsid w:val="003C5EF3"/>
    <w:rsid w:val="003C61F4"/>
    <w:rsid w:val="003C667C"/>
    <w:rsid w:val="003C7244"/>
    <w:rsid w:val="003D0BD9"/>
    <w:rsid w:val="003D33D5"/>
    <w:rsid w:val="003D3C91"/>
    <w:rsid w:val="003D454B"/>
    <w:rsid w:val="003D4A29"/>
    <w:rsid w:val="003D527D"/>
    <w:rsid w:val="003D5E11"/>
    <w:rsid w:val="003D602D"/>
    <w:rsid w:val="003D6791"/>
    <w:rsid w:val="003D68F8"/>
    <w:rsid w:val="003D701C"/>
    <w:rsid w:val="003E0019"/>
    <w:rsid w:val="003E06FC"/>
    <w:rsid w:val="003E0F66"/>
    <w:rsid w:val="003E1A12"/>
    <w:rsid w:val="003E2558"/>
    <w:rsid w:val="003E2DC5"/>
    <w:rsid w:val="003E41D1"/>
    <w:rsid w:val="003E4423"/>
    <w:rsid w:val="003E450D"/>
    <w:rsid w:val="003E4740"/>
    <w:rsid w:val="003E5EAD"/>
    <w:rsid w:val="003E6097"/>
    <w:rsid w:val="003E6162"/>
    <w:rsid w:val="003E6234"/>
    <w:rsid w:val="003E6260"/>
    <w:rsid w:val="003E6BF5"/>
    <w:rsid w:val="003E6EAB"/>
    <w:rsid w:val="003E7B10"/>
    <w:rsid w:val="003E7E39"/>
    <w:rsid w:val="003F0AE2"/>
    <w:rsid w:val="003F2F77"/>
    <w:rsid w:val="003F347F"/>
    <w:rsid w:val="003F39E3"/>
    <w:rsid w:val="003F4877"/>
    <w:rsid w:val="003F487B"/>
    <w:rsid w:val="00400774"/>
    <w:rsid w:val="00403290"/>
    <w:rsid w:val="00404AE6"/>
    <w:rsid w:val="00404C3F"/>
    <w:rsid w:val="004054EB"/>
    <w:rsid w:val="00405635"/>
    <w:rsid w:val="00405895"/>
    <w:rsid w:val="00405DC4"/>
    <w:rsid w:val="00406815"/>
    <w:rsid w:val="00406AA5"/>
    <w:rsid w:val="00406ABD"/>
    <w:rsid w:val="00407145"/>
    <w:rsid w:val="0040776E"/>
    <w:rsid w:val="004100D2"/>
    <w:rsid w:val="004103E8"/>
    <w:rsid w:val="00410783"/>
    <w:rsid w:val="00413271"/>
    <w:rsid w:val="004168C0"/>
    <w:rsid w:val="00416930"/>
    <w:rsid w:val="0041697D"/>
    <w:rsid w:val="00416ADA"/>
    <w:rsid w:val="00417DB3"/>
    <w:rsid w:val="0042083B"/>
    <w:rsid w:val="00420876"/>
    <w:rsid w:val="00420A27"/>
    <w:rsid w:val="00420C07"/>
    <w:rsid w:val="00420ECA"/>
    <w:rsid w:val="00421337"/>
    <w:rsid w:val="004213ED"/>
    <w:rsid w:val="004219F3"/>
    <w:rsid w:val="00421FCE"/>
    <w:rsid w:val="00422451"/>
    <w:rsid w:val="0042378E"/>
    <w:rsid w:val="00424286"/>
    <w:rsid w:val="004250D2"/>
    <w:rsid w:val="004259C1"/>
    <w:rsid w:val="00425D06"/>
    <w:rsid w:val="00426826"/>
    <w:rsid w:val="00426D3B"/>
    <w:rsid w:val="00426DC0"/>
    <w:rsid w:val="00427039"/>
    <w:rsid w:val="00427709"/>
    <w:rsid w:val="00427BD1"/>
    <w:rsid w:val="00430B97"/>
    <w:rsid w:val="00430D5A"/>
    <w:rsid w:val="00431CEF"/>
    <w:rsid w:val="00431D34"/>
    <w:rsid w:val="0043212B"/>
    <w:rsid w:val="0043284B"/>
    <w:rsid w:val="00432C2D"/>
    <w:rsid w:val="004331AF"/>
    <w:rsid w:val="0043577B"/>
    <w:rsid w:val="00435CAC"/>
    <w:rsid w:val="00435D67"/>
    <w:rsid w:val="00435F0E"/>
    <w:rsid w:val="00436009"/>
    <w:rsid w:val="00441D14"/>
    <w:rsid w:val="00442C96"/>
    <w:rsid w:val="00444653"/>
    <w:rsid w:val="0044536C"/>
    <w:rsid w:val="00445723"/>
    <w:rsid w:val="00445799"/>
    <w:rsid w:val="00445DC7"/>
    <w:rsid w:val="00446A5B"/>
    <w:rsid w:val="00446D8E"/>
    <w:rsid w:val="00447116"/>
    <w:rsid w:val="00447C44"/>
    <w:rsid w:val="00450690"/>
    <w:rsid w:val="00450C3F"/>
    <w:rsid w:val="00451A23"/>
    <w:rsid w:val="00451C92"/>
    <w:rsid w:val="00452651"/>
    <w:rsid w:val="00452E53"/>
    <w:rsid w:val="00453E3A"/>
    <w:rsid w:val="00453E3E"/>
    <w:rsid w:val="00454C3A"/>
    <w:rsid w:val="00454DE6"/>
    <w:rsid w:val="00455622"/>
    <w:rsid w:val="00455B8A"/>
    <w:rsid w:val="004560E9"/>
    <w:rsid w:val="00456728"/>
    <w:rsid w:val="0046004F"/>
    <w:rsid w:val="00460834"/>
    <w:rsid w:val="00461659"/>
    <w:rsid w:val="00461C39"/>
    <w:rsid w:val="00462E22"/>
    <w:rsid w:val="00462F0A"/>
    <w:rsid w:val="004631D4"/>
    <w:rsid w:val="0046320F"/>
    <w:rsid w:val="00464800"/>
    <w:rsid w:val="00464B68"/>
    <w:rsid w:val="00464E9C"/>
    <w:rsid w:val="00464FA0"/>
    <w:rsid w:val="00464FB4"/>
    <w:rsid w:val="00465217"/>
    <w:rsid w:val="00465553"/>
    <w:rsid w:val="0046636B"/>
    <w:rsid w:val="0046650A"/>
    <w:rsid w:val="00466F03"/>
    <w:rsid w:val="0046771A"/>
    <w:rsid w:val="004678BD"/>
    <w:rsid w:val="00470320"/>
    <w:rsid w:val="00470926"/>
    <w:rsid w:val="00470930"/>
    <w:rsid w:val="004721A8"/>
    <w:rsid w:val="00473E80"/>
    <w:rsid w:val="00473F4D"/>
    <w:rsid w:val="00474E5B"/>
    <w:rsid w:val="0047594F"/>
    <w:rsid w:val="0047670E"/>
    <w:rsid w:val="00476CF7"/>
    <w:rsid w:val="00476D6F"/>
    <w:rsid w:val="00476D82"/>
    <w:rsid w:val="0047763C"/>
    <w:rsid w:val="00480281"/>
    <w:rsid w:val="004803A9"/>
    <w:rsid w:val="00480F5B"/>
    <w:rsid w:val="004811D7"/>
    <w:rsid w:val="0048164F"/>
    <w:rsid w:val="004816DB"/>
    <w:rsid w:val="00481C6A"/>
    <w:rsid w:val="00481CA7"/>
    <w:rsid w:val="00481FD5"/>
    <w:rsid w:val="00482296"/>
    <w:rsid w:val="004822B3"/>
    <w:rsid w:val="0048364F"/>
    <w:rsid w:val="004853A0"/>
    <w:rsid w:val="004857B0"/>
    <w:rsid w:val="004866EC"/>
    <w:rsid w:val="0048734E"/>
    <w:rsid w:val="004875D4"/>
    <w:rsid w:val="004876A0"/>
    <w:rsid w:val="00491731"/>
    <w:rsid w:val="004919BF"/>
    <w:rsid w:val="00491AEB"/>
    <w:rsid w:val="0049239A"/>
    <w:rsid w:val="00494F63"/>
    <w:rsid w:val="0049521B"/>
    <w:rsid w:val="00495C71"/>
    <w:rsid w:val="00495CD6"/>
    <w:rsid w:val="00497181"/>
    <w:rsid w:val="004979D7"/>
    <w:rsid w:val="00497A36"/>
    <w:rsid w:val="00497C08"/>
    <w:rsid w:val="004A0104"/>
    <w:rsid w:val="004A0BC1"/>
    <w:rsid w:val="004A0D65"/>
    <w:rsid w:val="004A0F1C"/>
    <w:rsid w:val="004A10FC"/>
    <w:rsid w:val="004A1346"/>
    <w:rsid w:val="004A1369"/>
    <w:rsid w:val="004A21E5"/>
    <w:rsid w:val="004A2667"/>
    <w:rsid w:val="004A3423"/>
    <w:rsid w:val="004A3485"/>
    <w:rsid w:val="004A386B"/>
    <w:rsid w:val="004A5339"/>
    <w:rsid w:val="004A587F"/>
    <w:rsid w:val="004A58F3"/>
    <w:rsid w:val="004A5A1B"/>
    <w:rsid w:val="004A6743"/>
    <w:rsid w:val="004A7CED"/>
    <w:rsid w:val="004B0783"/>
    <w:rsid w:val="004B07FB"/>
    <w:rsid w:val="004B08C0"/>
    <w:rsid w:val="004B0AE1"/>
    <w:rsid w:val="004B0E67"/>
    <w:rsid w:val="004B129C"/>
    <w:rsid w:val="004B1DAF"/>
    <w:rsid w:val="004B21B0"/>
    <w:rsid w:val="004B2C01"/>
    <w:rsid w:val="004B30AD"/>
    <w:rsid w:val="004B3A98"/>
    <w:rsid w:val="004B4713"/>
    <w:rsid w:val="004B48A5"/>
    <w:rsid w:val="004B4D92"/>
    <w:rsid w:val="004B55B5"/>
    <w:rsid w:val="004B5F0B"/>
    <w:rsid w:val="004B68FA"/>
    <w:rsid w:val="004B6F0B"/>
    <w:rsid w:val="004B7068"/>
    <w:rsid w:val="004C0A5A"/>
    <w:rsid w:val="004C1743"/>
    <w:rsid w:val="004C1B75"/>
    <w:rsid w:val="004C294F"/>
    <w:rsid w:val="004C2B61"/>
    <w:rsid w:val="004C2BBB"/>
    <w:rsid w:val="004C40AA"/>
    <w:rsid w:val="004C4B41"/>
    <w:rsid w:val="004C5101"/>
    <w:rsid w:val="004C733B"/>
    <w:rsid w:val="004C777E"/>
    <w:rsid w:val="004C78EF"/>
    <w:rsid w:val="004D00D5"/>
    <w:rsid w:val="004D06EE"/>
    <w:rsid w:val="004D0A8C"/>
    <w:rsid w:val="004D0EE3"/>
    <w:rsid w:val="004D0F05"/>
    <w:rsid w:val="004D0FE9"/>
    <w:rsid w:val="004D2028"/>
    <w:rsid w:val="004D2196"/>
    <w:rsid w:val="004D22E5"/>
    <w:rsid w:val="004D243E"/>
    <w:rsid w:val="004D263C"/>
    <w:rsid w:val="004D2A0B"/>
    <w:rsid w:val="004D5246"/>
    <w:rsid w:val="004D5354"/>
    <w:rsid w:val="004D5504"/>
    <w:rsid w:val="004D7B58"/>
    <w:rsid w:val="004D7D55"/>
    <w:rsid w:val="004E07FB"/>
    <w:rsid w:val="004E1157"/>
    <w:rsid w:val="004E1AEB"/>
    <w:rsid w:val="004E2CEC"/>
    <w:rsid w:val="004E2E7B"/>
    <w:rsid w:val="004E36C1"/>
    <w:rsid w:val="004E4115"/>
    <w:rsid w:val="004E4284"/>
    <w:rsid w:val="004E4367"/>
    <w:rsid w:val="004E4964"/>
    <w:rsid w:val="004E4987"/>
    <w:rsid w:val="004E49A1"/>
    <w:rsid w:val="004E4E28"/>
    <w:rsid w:val="004E4EDE"/>
    <w:rsid w:val="004E5C28"/>
    <w:rsid w:val="004E6783"/>
    <w:rsid w:val="004E71FB"/>
    <w:rsid w:val="004E7AC0"/>
    <w:rsid w:val="004F02C9"/>
    <w:rsid w:val="004F0740"/>
    <w:rsid w:val="004F0D03"/>
    <w:rsid w:val="004F11E8"/>
    <w:rsid w:val="004F1313"/>
    <w:rsid w:val="004F1AE0"/>
    <w:rsid w:val="004F26E3"/>
    <w:rsid w:val="004F3DAE"/>
    <w:rsid w:val="004F466D"/>
    <w:rsid w:val="004F4BBA"/>
    <w:rsid w:val="004F4DDA"/>
    <w:rsid w:val="004F5593"/>
    <w:rsid w:val="004F566A"/>
    <w:rsid w:val="004F60D1"/>
    <w:rsid w:val="004F707F"/>
    <w:rsid w:val="004F72AC"/>
    <w:rsid w:val="00500505"/>
    <w:rsid w:val="005005CE"/>
    <w:rsid w:val="00501151"/>
    <w:rsid w:val="00502A89"/>
    <w:rsid w:val="00503734"/>
    <w:rsid w:val="00503D2F"/>
    <w:rsid w:val="005046EA"/>
    <w:rsid w:val="0050526E"/>
    <w:rsid w:val="005054EF"/>
    <w:rsid w:val="005054FE"/>
    <w:rsid w:val="00505515"/>
    <w:rsid w:val="00505716"/>
    <w:rsid w:val="00505A70"/>
    <w:rsid w:val="00505CED"/>
    <w:rsid w:val="005067DC"/>
    <w:rsid w:val="0050697A"/>
    <w:rsid w:val="00506A41"/>
    <w:rsid w:val="00507AD4"/>
    <w:rsid w:val="00507B76"/>
    <w:rsid w:val="00507C04"/>
    <w:rsid w:val="00507C23"/>
    <w:rsid w:val="00507CB9"/>
    <w:rsid w:val="00507E34"/>
    <w:rsid w:val="005102A1"/>
    <w:rsid w:val="00510304"/>
    <w:rsid w:val="0051066A"/>
    <w:rsid w:val="00510909"/>
    <w:rsid w:val="00511667"/>
    <w:rsid w:val="00511B70"/>
    <w:rsid w:val="00512AA1"/>
    <w:rsid w:val="00512E48"/>
    <w:rsid w:val="00512FF2"/>
    <w:rsid w:val="00513339"/>
    <w:rsid w:val="005141C7"/>
    <w:rsid w:val="005147C3"/>
    <w:rsid w:val="00514D0C"/>
    <w:rsid w:val="00514E76"/>
    <w:rsid w:val="00514ECE"/>
    <w:rsid w:val="00514FBB"/>
    <w:rsid w:val="00515151"/>
    <w:rsid w:val="00515904"/>
    <w:rsid w:val="0051652D"/>
    <w:rsid w:val="00516B15"/>
    <w:rsid w:val="005170F6"/>
    <w:rsid w:val="00520087"/>
    <w:rsid w:val="00520DBC"/>
    <w:rsid w:val="005231DE"/>
    <w:rsid w:val="00523479"/>
    <w:rsid w:val="00523ABE"/>
    <w:rsid w:val="00524054"/>
    <w:rsid w:val="00524326"/>
    <w:rsid w:val="005249E8"/>
    <w:rsid w:val="00524DEE"/>
    <w:rsid w:val="00525A8D"/>
    <w:rsid w:val="00525C33"/>
    <w:rsid w:val="00526429"/>
    <w:rsid w:val="00526455"/>
    <w:rsid w:val="005268E4"/>
    <w:rsid w:val="00527F72"/>
    <w:rsid w:val="00527F75"/>
    <w:rsid w:val="005306C4"/>
    <w:rsid w:val="00530B5A"/>
    <w:rsid w:val="00531D75"/>
    <w:rsid w:val="00532A0D"/>
    <w:rsid w:val="005330F9"/>
    <w:rsid w:val="00533383"/>
    <w:rsid w:val="00534642"/>
    <w:rsid w:val="00534715"/>
    <w:rsid w:val="00535A56"/>
    <w:rsid w:val="00535D22"/>
    <w:rsid w:val="00535D28"/>
    <w:rsid w:val="005361B1"/>
    <w:rsid w:val="0053724F"/>
    <w:rsid w:val="005408A2"/>
    <w:rsid w:val="00542AFC"/>
    <w:rsid w:val="005444A8"/>
    <w:rsid w:val="00544D11"/>
    <w:rsid w:val="005458FD"/>
    <w:rsid w:val="00545A6B"/>
    <w:rsid w:val="00545AC4"/>
    <w:rsid w:val="00551551"/>
    <w:rsid w:val="005525B3"/>
    <w:rsid w:val="00552749"/>
    <w:rsid w:val="00552792"/>
    <w:rsid w:val="00552BB2"/>
    <w:rsid w:val="00552DD5"/>
    <w:rsid w:val="00553C6E"/>
    <w:rsid w:val="00554696"/>
    <w:rsid w:val="00554797"/>
    <w:rsid w:val="00555545"/>
    <w:rsid w:val="0055636E"/>
    <w:rsid w:val="00556E6E"/>
    <w:rsid w:val="005574C4"/>
    <w:rsid w:val="0055782A"/>
    <w:rsid w:val="00557B6E"/>
    <w:rsid w:val="00557B80"/>
    <w:rsid w:val="00557DA0"/>
    <w:rsid w:val="00557F77"/>
    <w:rsid w:val="00561C4F"/>
    <w:rsid w:val="00562262"/>
    <w:rsid w:val="00563AC2"/>
    <w:rsid w:val="00564214"/>
    <w:rsid w:val="00564989"/>
    <w:rsid w:val="00565590"/>
    <w:rsid w:val="005656D3"/>
    <w:rsid w:val="00566D63"/>
    <w:rsid w:val="00567373"/>
    <w:rsid w:val="005675A8"/>
    <w:rsid w:val="00567604"/>
    <w:rsid w:val="00567725"/>
    <w:rsid w:val="00567E7D"/>
    <w:rsid w:val="00570556"/>
    <w:rsid w:val="00571284"/>
    <w:rsid w:val="0057133A"/>
    <w:rsid w:val="0057176A"/>
    <w:rsid w:val="0057254B"/>
    <w:rsid w:val="00572D4F"/>
    <w:rsid w:val="00572F4D"/>
    <w:rsid w:val="00573400"/>
    <w:rsid w:val="00573412"/>
    <w:rsid w:val="00574133"/>
    <w:rsid w:val="00574562"/>
    <w:rsid w:val="00574A12"/>
    <w:rsid w:val="005756E7"/>
    <w:rsid w:val="00575F7D"/>
    <w:rsid w:val="00575FBB"/>
    <w:rsid w:val="0057635C"/>
    <w:rsid w:val="00576C22"/>
    <w:rsid w:val="00576D6F"/>
    <w:rsid w:val="0057748C"/>
    <w:rsid w:val="005779BB"/>
    <w:rsid w:val="0058034F"/>
    <w:rsid w:val="00580597"/>
    <w:rsid w:val="00580857"/>
    <w:rsid w:val="0058088E"/>
    <w:rsid w:val="00580B79"/>
    <w:rsid w:val="005818F8"/>
    <w:rsid w:val="00581975"/>
    <w:rsid w:val="00581D7F"/>
    <w:rsid w:val="00581FE8"/>
    <w:rsid w:val="00582229"/>
    <w:rsid w:val="00583191"/>
    <w:rsid w:val="0058346D"/>
    <w:rsid w:val="0058406A"/>
    <w:rsid w:val="005841D1"/>
    <w:rsid w:val="005852F7"/>
    <w:rsid w:val="00585A09"/>
    <w:rsid w:val="00586021"/>
    <w:rsid w:val="00590532"/>
    <w:rsid w:val="00590CC4"/>
    <w:rsid w:val="00591CAA"/>
    <w:rsid w:val="00591EFB"/>
    <w:rsid w:val="00592353"/>
    <w:rsid w:val="00592714"/>
    <w:rsid w:val="00592E86"/>
    <w:rsid w:val="0059300E"/>
    <w:rsid w:val="00593A7D"/>
    <w:rsid w:val="00593B88"/>
    <w:rsid w:val="00593E81"/>
    <w:rsid w:val="005940F0"/>
    <w:rsid w:val="00594320"/>
    <w:rsid w:val="005944E5"/>
    <w:rsid w:val="00594DFD"/>
    <w:rsid w:val="00595629"/>
    <w:rsid w:val="005963C5"/>
    <w:rsid w:val="00596CEA"/>
    <w:rsid w:val="005974B7"/>
    <w:rsid w:val="0059766C"/>
    <w:rsid w:val="00597E5A"/>
    <w:rsid w:val="005A0B73"/>
    <w:rsid w:val="005A37E2"/>
    <w:rsid w:val="005A41FB"/>
    <w:rsid w:val="005A4C4A"/>
    <w:rsid w:val="005A77F5"/>
    <w:rsid w:val="005A7B41"/>
    <w:rsid w:val="005A7E59"/>
    <w:rsid w:val="005B00A9"/>
    <w:rsid w:val="005B1377"/>
    <w:rsid w:val="005B15CB"/>
    <w:rsid w:val="005B2663"/>
    <w:rsid w:val="005B2FC9"/>
    <w:rsid w:val="005B3797"/>
    <w:rsid w:val="005B3C14"/>
    <w:rsid w:val="005B3EF3"/>
    <w:rsid w:val="005B4387"/>
    <w:rsid w:val="005B46D3"/>
    <w:rsid w:val="005B47DF"/>
    <w:rsid w:val="005B4D24"/>
    <w:rsid w:val="005B5A54"/>
    <w:rsid w:val="005B6BB6"/>
    <w:rsid w:val="005B74E1"/>
    <w:rsid w:val="005C035C"/>
    <w:rsid w:val="005C0ACE"/>
    <w:rsid w:val="005C2744"/>
    <w:rsid w:val="005C2801"/>
    <w:rsid w:val="005C2F26"/>
    <w:rsid w:val="005C31E8"/>
    <w:rsid w:val="005C3CAC"/>
    <w:rsid w:val="005C4A19"/>
    <w:rsid w:val="005C5208"/>
    <w:rsid w:val="005C5D89"/>
    <w:rsid w:val="005C661E"/>
    <w:rsid w:val="005D082A"/>
    <w:rsid w:val="005D0CA1"/>
    <w:rsid w:val="005D0D15"/>
    <w:rsid w:val="005D116F"/>
    <w:rsid w:val="005D1D15"/>
    <w:rsid w:val="005D2F93"/>
    <w:rsid w:val="005D3051"/>
    <w:rsid w:val="005D383C"/>
    <w:rsid w:val="005D3B79"/>
    <w:rsid w:val="005D42A1"/>
    <w:rsid w:val="005D4EF4"/>
    <w:rsid w:val="005D5639"/>
    <w:rsid w:val="005D5819"/>
    <w:rsid w:val="005D6189"/>
    <w:rsid w:val="005D6D8F"/>
    <w:rsid w:val="005D74C4"/>
    <w:rsid w:val="005D7746"/>
    <w:rsid w:val="005D77D9"/>
    <w:rsid w:val="005D7807"/>
    <w:rsid w:val="005E0E87"/>
    <w:rsid w:val="005E1108"/>
    <w:rsid w:val="005E1586"/>
    <w:rsid w:val="005E17AB"/>
    <w:rsid w:val="005E17C5"/>
    <w:rsid w:val="005E1957"/>
    <w:rsid w:val="005E228B"/>
    <w:rsid w:val="005E236F"/>
    <w:rsid w:val="005E23E3"/>
    <w:rsid w:val="005E2430"/>
    <w:rsid w:val="005E2898"/>
    <w:rsid w:val="005E2BA1"/>
    <w:rsid w:val="005E2FD3"/>
    <w:rsid w:val="005E30DD"/>
    <w:rsid w:val="005E36F4"/>
    <w:rsid w:val="005E3AB4"/>
    <w:rsid w:val="005E4C92"/>
    <w:rsid w:val="005E50CC"/>
    <w:rsid w:val="005E5961"/>
    <w:rsid w:val="005E6056"/>
    <w:rsid w:val="005E6CCF"/>
    <w:rsid w:val="005E6F7F"/>
    <w:rsid w:val="005E708D"/>
    <w:rsid w:val="005E7A0B"/>
    <w:rsid w:val="005F029B"/>
    <w:rsid w:val="005F0786"/>
    <w:rsid w:val="005F3AF5"/>
    <w:rsid w:val="005F3BCF"/>
    <w:rsid w:val="005F4165"/>
    <w:rsid w:val="005F5201"/>
    <w:rsid w:val="005F551A"/>
    <w:rsid w:val="005F5C65"/>
    <w:rsid w:val="005F5ED0"/>
    <w:rsid w:val="005F7031"/>
    <w:rsid w:val="005F74C6"/>
    <w:rsid w:val="005F7E6B"/>
    <w:rsid w:val="006008D3"/>
    <w:rsid w:val="00600D4F"/>
    <w:rsid w:val="00600E9F"/>
    <w:rsid w:val="00601A2E"/>
    <w:rsid w:val="00601B3A"/>
    <w:rsid w:val="00601D70"/>
    <w:rsid w:val="00601D74"/>
    <w:rsid w:val="006023F1"/>
    <w:rsid w:val="00602D09"/>
    <w:rsid w:val="006030E1"/>
    <w:rsid w:val="0060351B"/>
    <w:rsid w:val="00603708"/>
    <w:rsid w:val="006039B8"/>
    <w:rsid w:val="00604E75"/>
    <w:rsid w:val="006055B4"/>
    <w:rsid w:val="00605BBD"/>
    <w:rsid w:val="006065F7"/>
    <w:rsid w:val="006072B4"/>
    <w:rsid w:val="00607F23"/>
    <w:rsid w:val="00607FD0"/>
    <w:rsid w:val="006101A7"/>
    <w:rsid w:val="00610D76"/>
    <w:rsid w:val="006121FF"/>
    <w:rsid w:val="00613882"/>
    <w:rsid w:val="00614076"/>
    <w:rsid w:val="0061465B"/>
    <w:rsid w:val="00614B61"/>
    <w:rsid w:val="00616852"/>
    <w:rsid w:val="006174BB"/>
    <w:rsid w:val="00620DF8"/>
    <w:rsid w:val="00620F17"/>
    <w:rsid w:val="00621F5F"/>
    <w:rsid w:val="00622321"/>
    <w:rsid w:val="006238D4"/>
    <w:rsid w:val="006247D4"/>
    <w:rsid w:val="00624F90"/>
    <w:rsid w:val="006258DA"/>
    <w:rsid w:val="00626A02"/>
    <w:rsid w:val="00626E3F"/>
    <w:rsid w:val="00630B2A"/>
    <w:rsid w:val="00631257"/>
    <w:rsid w:val="00632C4C"/>
    <w:rsid w:val="00632D83"/>
    <w:rsid w:val="006331CB"/>
    <w:rsid w:val="0063342B"/>
    <w:rsid w:val="00634206"/>
    <w:rsid w:val="006344CF"/>
    <w:rsid w:val="0063464A"/>
    <w:rsid w:val="00635481"/>
    <w:rsid w:val="00635AF3"/>
    <w:rsid w:val="0063648E"/>
    <w:rsid w:val="00636529"/>
    <w:rsid w:val="00636F94"/>
    <w:rsid w:val="00637090"/>
    <w:rsid w:val="006377CD"/>
    <w:rsid w:val="006401C5"/>
    <w:rsid w:val="00640767"/>
    <w:rsid w:val="00640F2B"/>
    <w:rsid w:val="0064112A"/>
    <w:rsid w:val="006416F3"/>
    <w:rsid w:val="006418EB"/>
    <w:rsid w:val="00642E1A"/>
    <w:rsid w:val="00643E31"/>
    <w:rsid w:val="00643E5C"/>
    <w:rsid w:val="00643EF5"/>
    <w:rsid w:val="00645399"/>
    <w:rsid w:val="00645F6C"/>
    <w:rsid w:val="00647A7A"/>
    <w:rsid w:val="00650555"/>
    <w:rsid w:val="00651801"/>
    <w:rsid w:val="0065197A"/>
    <w:rsid w:val="00651FF0"/>
    <w:rsid w:val="00652A28"/>
    <w:rsid w:val="00652F01"/>
    <w:rsid w:val="0065398E"/>
    <w:rsid w:val="00653ADE"/>
    <w:rsid w:val="00654560"/>
    <w:rsid w:val="00654671"/>
    <w:rsid w:val="00654D49"/>
    <w:rsid w:val="00654FA7"/>
    <w:rsid w:val="00655616"/>
    <w:rsid w:val="0065568D"/>
    <w:rsid w:val="0065590E"/>
    <w:rsid w:val="00655BE8"/>
    <w:rsid w:val="00656133"/>
    <w:rsid w:val="00656474"/>
    <w:rsid w:val="00657C53"/>
    <w:rsid w:val="00657CA6"/>
    <w:rsid w:val="006601B0"/>
    <w:rsid w:val="00660207"/>
    <w:rsid w:val="006609E0"/>
    <w:rsid w:val="00661CDF"/>
    <w:rsid w:val="006623DA"/>
    <w:rsid w:val="006628AC"/>
    <w:rsid w:val="006628C5"/>
    <w:rsid w:val="00662F36"/>
    <w:rsid w:val="0066371C"/>
    <w:rsid w:val="00663B74"/>
    <w:rsid w:val="006647DC"/>
    <w:rsid w:val="00664DB9"/>
    <w:rsid w:val="006651CF"/>
    <w:rsid w:val="00666677"/>
    <w:rsid w:val="006667DE"/>
    <w:rsid w:val="0066686B"/>
    <w:rsid w:val="00666F0B"/>
    <w:rsid w:val="00667166"/>
    <w:rsid w:val="006700E2"/>
    <w:rsid w:val="006708C6"/>
    <w:rsid w:val="006710DD"/>
    <w:rsid w:val="00671301"/>
    <w:rsid w:val="006718A2"/>
    <w:rsid w:val="00671C2A"/>
    <w:rsid w:val="006723AB"/>
    <w:rsid w:val="006738EC"/>
    <w:rsid w:val="00673990"/>
    <w:rsid w:val="006745AE"/>
    <w:rsid w:val="0067463C"/>
    <w:rsid w:val="00675FB3"/>
    <w:rsid w:val="00676622"/>
    <w:rsid w:val="00680241"/>
    <w:rsid w:val="00680C9B"/>
    <w:rsid w:val="006814D3"/>
    <w:rsid w:val="0068171B"/>
    <w:rsid w:val="00681892"/>
    <w:rsid w:val="00681AFE"/>
    <w:rsid w:val="00681B27"/>
    <w:rsid w:val="00681FBD"/>
    <w:rsid w:val="0068214D"/>
    <w:rsid w:val="0068216A"/>
    <w:rsid w:val="00682245"/>
    <w:rsid w:val="00682CB7"/>
    <w:rsid w:val="006838CA"/>
    <w:rsid w:val="00683A8A"/>
    <w:rsid w:val="00684170"/>
    <w:rsid w:val="0068601D"/>
    <w:rsid w:val="00686289"/>
    <w:rsid w:val="006864D6"/>
    <w:rsid w:val="00687349"/>
    <w:rsid w:val="00687A9E"/>
    <w:rsid w:val="0069044B"/>
    <w:rsid w:val="0069060A"/>
    <w:rsid w:val="00690A88"/>
    <w:rsid w:val="006915A8"/>
    <w:rsid w:val="006915C1"/>
    <w:rsid w:val="00691922"/>
    <w:rsid w:val="00691C90"/>
    <w:rsid w:val="00691D99"/>
    <w:rsid w:val="00691EB2"/>
    <w:rsid w:val="006930E4"/>
    <w:rsid w:val="0069353B"/>
    <w:rsid w:val="00693D9F"/>
    <w:rsid w:val="00693DBF"/>
    <w:rsid w:val="00694A85"/>
    <w:rsid w:val="00695C8A"/>
    <w:rsid w:val="0069671E"/>
    <w:rsid w:val="00696CDF"/>
    <w:rsid w:val="00697DB5"/>
    <w:rsid w:val="00697F2A"/>
    <w:rsid w:val="006A0052"/>
    <w:rsid w:val="006A0636"/>
    <w:rsid w:val="006A1431"/>
    <w:rsid w:val="006A1AF8"/>
    <w:rsid w:val="006A2592"/>
    <w:rsid w:val="006A25F5"/>
    <w:rsid w:val="006A3730"/>
    <w:rsid w:val="006A3ED4"/>
    <w:rsid w:val="006A4162"/>
    <w:rsid w:val="006A41FA"/>
    <w:rsid w:val="006A4C4A"/>
    <w:rsid w:val="006A57C3"/>
    <w:rsid w:val="006A581A"/>
    <w:rsid w:val="006A6275"/>
    <w:rsid w:val="006A6662"/>
    <w:rsid w:val="006A6ED5"/>
    <w:rsid w:val="006A7DAC"/>
    <w:rsid w:val="006B06E0"/>
    <w:rsid w:val="006B1040"/>
    <w:rsid w:val="006B121F"/>
    <w:rsid w:val="006B1C74"/>
    <w:rsid w:val="006B1D4D"/>
    <w:rsid w:val="006B276E"/>
    <w:rsid w:val="006B2D4D"/>
    <w:rsid w:val="006B380F"/>
    <w:rsid w:val="006B3E62"/>
    <w:rsid w:val="006B4FC7"/>
    <w:rsid w:val="006B563F"/>
    <w:rsid w:val="006B5F18"/>
    <w:rsid w:val="006B6AFF"/>
    <w:rsid w:val="006B71D7"/>
    <w:rsid w:val="006B731E"/>
    <w:rsid w:val="006C098A"/>
    <w:rsid w:val="006C0C58"/>
    <w:rsid w:val="006C0F58"/>
    <w:rsid w:val="006C1F7F"/>
    <w:rsid w:val="006C2B9F"/>
    <w:rsid w:val="006C30A3"/>
    <w:rsid w:val="006C42D5"/>
    <w:rsid w:val="006C44DD"/>
    <w:rsid w:val="006C4EB4"/>
    <w:rsid w:val="006C520D"/>
    <w:rsid w:val="006C5512"/>
    <w:rsid w:val="006C560F"/>
    <w:rsid w:val="006C5FE2"/>
    <w:rsid w:val="006C64F9"/>
    <w:rsid w:val="006C7911"/>
    <w:rsid w:val="006D0003"/>
    <w:rsid w:val="006D0900"/>
    <w:rsid w:val="006D0D1B"/>
    <w:rsid w:val="006D11BD"/>
    <w:rsid w:val="006D11CC"/>
    <w:rsid w:val="006D24CF"/>
    <w:rsid w:val="006D2C1D"/>
    <w:rsid w:val="006D3346"/>
    <w:rsid w:val="006D3704"/>
    <w:rsid w:val="006D3881"/>
    <w:rsid w:val="006D3FB9"/>
    <w:rsid w:val="006D45C5"/>
    <w:rsid w:val="006D5C50"/>
    <w:rsid w:val="006D5F64"/>
    <w:rsid w:val="006D69DB"/>
    <w:rsid w:val="006D71E6"/>
    <w:rsid w:val="006D722C"/>
    <w:rsid w:val="006E0261"/>
    <w:rsid w:val="006E035F"/>
    <w:rsid w:val="006E0C70"/>
    <w:rsid w:val="006E12AD"/>
    <w:rsid w:val="006E24CB"/>
    <w:rsid w:val="006E24FA"/>
    <w:rsid w:val="006E3F4C"/>
    <w:rsid w:val="006E46CC"/>
    <w:rsid w:val="006E48D2"/>
    <w:rsid w:val="006E4A81"/>
    <w:rsid w:val="006E5829"/>
    <w:rsid w:val="006E6222"/>
    <w:rsid w:val="006E6249"/>
    <w:rsid w:val="006E62BB"/>
    <w:rsid w:val="006E636E"/>
    <w:rsid w:val="006E6501"/>
    <w:rsid w:val="006E68B7"/>
    <w:rsid w:val="006E6B0F"/>
    <w:rsid w:val="006E6F70"/>
    <w:rsid w:val="006E724C"/>
    <w:rsid w:val="006E7579"/>
    <w:rsid w:val="006E7AA9"/>
    <w:rsid w:val="006E7D5C"/>
    <w:rsid w:val="006E7D5D"/>
    <w:rsid w:val="006E7F32"/>
    <w:rsid w:val="006F01E2"/>
    <w:rsid w:val="006F0B19"/>
    <w:rsid w:val="006F13DB"/>
    <w:rsid w:val="006F21BF"/>
    <w:rsid w:val="006F24EE"/>
    <w:rsid w:val="006F3525"/>
    <w:rsid w:val="006F3706"/>
    <w:rsid w:val="006F3716"/>
    <w:rsid w:val="006F4587"/>
    <w:rsid w:val="006F4E1F"/>
    <w:rsid w:val="006F5085"/>
    <w:rsid w:val="006F591D"/>
    <w:rsid w:val="006F6001"/>
    <w:rsid w:val="006F6395"/>
    <w:rsid w:val="006F71FB"/>
    <w:rsid w:val="006F756D"/>
    <w:rsid w:val="006F7B92"/>
    <w:rsid w:val="006F7F6F"/>
    <w:rsid w:val="0070018E"/>
    <w:rsid w:val="00700B08"/>
    <w:rsid w:val="0070196C"/>
    <w:rsid w:val="00701A93"/>
    <w:rsid w:val="00701D93"/>
    <w:rsid w:val="00701FA5"/>
    <w:rsid w:val="0070251D"/>
    <w:rsid w:val="0070386F"/>
    <w:rsid w:val="00703EA7"/>
    <w:rsid w:val="0070573F"/>
    <w:rsid w:val="0070608A"/>
    <w:rsid w:val="00706188"/>
    <w:rsid w:val="00706315"/>
    <w:rsid w:val="007067DE"/>
    <w:rsid w:val="007076FB"/>
    <w:rsid w:val="0070781A"/>
    <w:rsid w:val="007079FE"/>
    <w:rsid w:val="00707BF5"/>
    <w:rsid w:val="00707C45"/>
    <w:rsid w:val="00707E8A"/>
    <w:rsid w:val="00710291"/>
    <w:rsid w:val="00710B8D"/>
    <w:rsid w:val="00711109"/>
    <w:rsid w:val="007118C2"/>
    <w:rsid w:val="007125D9"/>
    <w:rsid w:val="0071277B"/>
    <w:rsid w:val="00712FEA"/>
    <w:rsid w:val="00713B13"/>
    <w:rsid w:val="00714418"/>
    <w:rsid w:val="007144A2"/>
    <w:rsid w:val="00714A19"/>
    <w:rsid w:val="007152EB"/>
    <w:rsid w:val="00715434"/>
    <w:rsid w:val="0071629D"/>
    <w:rsid w:val="00716978"/>
    <w:rsid w:val="00716BAA"/>
    <w:rsid w:val="00716F7A"/>
    <w:rsid w:val="00716FEA"/>
    <w:rsid w:val="00717468"/>
    <w:rsid w:val="0072040B"/>
    <w:rsid w:val="007209EF"/>
    <w:rsid w:val="007215C3"/>
    <w:rsid w:val="00722927"/>
    <w:rsid w:val="0072345F"/>
    <w:rsid w:val="007236AA"/>
    <w:rsid w:val="00723818"/>
    <w:rsid w:val="007238E0"/>
    <w:rsid w:val="007241FD"/>
    <w:rsid w:val="0072454F"/>
    <w:rsid w:val="00724FE6"/>
    <w:rsid w:val="0072505A"/>
    <w:rsid w:val="0072559E"/>
    <w:rsid w:val="00726634"/>
    <w:rsid w:val="007268B7"/>
    <w:rsid w:val="00726B86"/>
    <w:rsid w:val="00726C15"/>
    <w:rsid w:val="007277E0"/>
    <w:rsid w:val="007311BD"/>
    <w:rsid w:val="007317E1"/>
    <w:rsid w:val="00731A9B"/>
    <w:rsid w:val="0073213C"/>
    <w:rsid w:val="00732228"/>
    <w:rsid w:val="0073348E"/>
    <w:rsid w:val="00733670"/>
    <w:rsid w:val="00733950"/>
    <w:rsid w:val="0073424A"/>
    <w:rsid w:val="00734506"/>
    <w:rsid w:val="007346A5"/>
    <w:rsid w:val="00735522"/>
    <w:rsid w:val="007359FE"/>
    <w:rsid w:val="00735B69"/>
    <w:rsid w:val="00736210"/>
    <w:rsid w:val="0073642E"/>
    <w:rsid w:val="007366A7"/>
    <w:rsid w:val="00737130"/>
    <w:rsid w:val="00737FD8"/>
    <w:rsid w:val="00740598"/>
    <w:rsid w:val="00740CFA"/>
    <w:rsid w:val="007412BA"/>
    <w:rsid w:val="00741B38"/>
    <w:rsid w:val="00742076"/>
    <w:rsid w:val="0074213D"/>
    <w:rsid w:val="0074239F"/>
    <w:rsid w:val="007424C8"/>
    <w:rsid w:val="00742D32"/>
    <w:rsid w:val="0074364C"/>
    <w:rsid w:val="007437D2"/>
    <w:rsid w:val="00744C7B"/>
    <w:rsid w:val="00744C94"/>
    <w:rsid w:val="00744DDF"/>
    <w:rsid w:val="00744ED2"/>
    <w:rsid w:val="007460E6"/>
    <w:rsid w:val="0074630A"/>
    <w:rsid w:val="00746AF3"/>
    <w:rsid w:val="00746C38"/>
    <w:rsid w:val="00747B92"/>
    <w:rsid w:val="00747C23"/>
    <w:rsid w:val="00747ED9"/>
    <w:rsid w:val="00747FF3"/>
    <w:rsid w:val="00750497"/>
    <w:rsid w:val="00751A7D"/>
    <w:rsid w:val="0075211D"/>
    <w:rsid w:val="0075235C"/>
    <w:rsid w:val="00752407"/>
    <w:rsid w:val="007525F0"/>
    <w:rsid w:val="007528BE"/>
    <w:rsid w:val="00753058"/>
    <w:rsid w:val="00753EB1"/>
    <w:rsid w:val="007541D3"/>
    <w:rsid w:val="00754253"/>
    <w:rsid w:val="0075553A"/>
    <w:rsid w:val="00755930"/>
    <w:rsid w:val="00760672"/>
    <w:rsid w:val="007608EA"/>
    <w:rsid w:val="00760EC7"/>
    <w:rsid w:val="00761038"/>
    <w:rsid w:val="0076197F"/>
    <w:rsid w:val="00762DC8"/>
    <w:rsid w:val="00762E97"/>
    <w:rsid w:val="007631EE"/>
    <w:rsid w:val="0076330E"/>
    <w:rsid w:val="00763449"/>
    <w:rsid w:val="00763C83"/>
    <w:rsid w:val="00764466"/>
    <w:rsid w:val="007648E5"/>
    <w:rsid w:val="00764A22"/>
    <w:rsid w:val="00764CCD"/>
    <w:rsid w:val="00765478"/>
    <w:rsid w:val="00765864"/>
    <w:rsid w:val="00765A46"/>
    <w:rsid w:val="00766430"/>
    <w:rsid w:val="007672EF"/>
    <w:rsid w:val="00767E6A"/>
    <w:rsid w:val="00770BD0"/>
    <w:rsid w:val="007719CF"/>
    <w:rsid w:val="00771A39"/>
    <w:rsid w:val="00771CFF"/>
    <w:rsid w:val="00771FAD"/>
    <w:rsid w:val="00772115"/>
    <w:rsid w:val="007722FE"/>
    <w:rsid w:val="00772EEA"/>
    <w:rsid w:val="00773466"/>
    <w:rsid w:val="00773531"/>
    <w:rsid w:val="00773FE3"/>
    <w:rsid w:val="0077452E"/>
    <w:rsid w:val="00774812"/>
    <w:rsid w:val="00776284"/>
    <w:rsid w:val="007764C7"/>
    <w:rsid w:val="007766EF"/>
    <w:rsid w:val="00776AB7"/>
    <w:rsid w:val="007773FC"/>
    <w:rsid w:val="007775E1"/>
    <w:rsid w:val="00777B36"/>
    <w:rsid w:val="00777ED0"/>
    <w:rsid w:val="007800EB"/>
    <w:rsid w:val="0078019C"/>
    <w:rsid w:val="00781412"/>
    <w:rsid w:val="00781550"/>
    <w:rsid w:val="00781697"/>
    <w:rsid w:val="00781BF2"/>
    <w:rsid w:val="00781CBE"/>
    <w:rsid w:val="007823EF"/>
    <w:rsid w:val="0078399C"/>
    <w:rsid w:val="00783B74"/>
    <w:rsid w:val="00784AFC"/>
    <w:rsid w:val="00784C3E"/>
    <w:rsid w:val="00785E0B"/>
    <w:rsid w:val="00786BF1"/>
    <w:rsid w:val="007877F5"/>
    <w:rsid w:val="00787A3C"/>
    <w:rsid w:val="00787C0A"/>
    <w:rsid w:val="00792400"/>
    <w:rsid w:val="007925F5"/>
    <w:rsid w:val="00792608"/>
    <w:rsid w:val="0079269D"/>
    <w:rsid w:val="00792A3A"/>
    <w:rsid w:val="00792AF5"/>
    <w:rsid w:val="00794414"/>
    <w:rsid w:val="00794BB8"/>
    <w:rsid w:val="00795260"/>
    <w:rsid w:val="00796251"/>
    <w:rsid w:val="007964A9"/>
    <w:rsid w:val="0079652F"/>
    <w:rsid w:val="00796B8D"/>
    <w:rsid w:val="0079791A"/>
    <w:rsid w:val="007979FF"/>
    <w:rsid w:val="00797B54"/>
    <w:rsid w:val="00797F6F"/>
    <w:rsid w:val="00797F72"/>
    <w:rsid w:val="007A0121"/>
    <w:rsid w:val="007A098C"/>
    <w:rsid w:val="007A39A1"/>
    <w:rsid w:val="007A3BC0"/>
    <w:rsid w:val="007A427C"/>
    <w:rsid w:val="007A551C"/>
    <w:rsid w:val="007A627C"/>
    <w:rsid w:val="007A79BD"/>
    <w:rsid w:val="007A7AAF"/>
    <w:rsid w:val="007A7E32"/>
    <w:rsid w:val="007A7EDA"/>
    <w:rsid w:val="007B0D19"/>
    <w:rsid w:val="007B19B8"/>
    <w:rsid w:val="007B1B12"/>
    <w:rsid w:val="007B1EF1"/>
    <w:rsid w:val="007B2174"/>
    <w:rsid w:val="007B47B8"/>
    <w:rsid w:val="007B4D1E"/>
    <w:rsid w:val="007B5772"/>
    <w:rsid w:val="007B6DAF"/>
    <w:rsid w:val="007B7172"/>
    <w:rsid w:val="007B7253"/>
    <w:rsid w:val="007B7276"/>
    <w:rsid w:val="007B784E"/>
    <w:rsid w:val="007B7A66"/>
    <w:rsid w:val="007C09F5"/>
    <w:rsid w:val="007C0E12"/>
    <w:rsid w:val="007C2424"/>
    <w:rsid w:val="007C24B3"/>
    <w:rsid w:val="007C2836"/>
    <w:rsid w:val="007C4369"/>
    <w:rsid w:val="007C4B76"/>
    <w:rsid w:val="007C5046"/>
    <w:rsid w:val="007C5B11"/>
    <w:rsid w:val="007C640C"/>
    <w:rsid w:val="007C68CA"/>
    <w:rsid w:val="007C79D3"/>
    <w:rsid w:val="007C7BDF"/>
    <w:rsid w:val="007D117E"/>
    <w:rsid w:val="007D1D6F"/>
    <w:rsid w:val="007D1F8B"/>
    <w:rsid w:val="007D2108"/>
    <w:rsid w:val="007D215D"/>
    <w:rsid w:val="007D263D"/>
    <w:rsid w:val="007D2CE5"/>
    <w:rsid w:val="007D2EB3"/>
    <w:rsid w:val="007D32CC"/>
    <w:rsid w:val="007D384D"/>
    <w:rsid w:val="007D413B"/>
    <w:rsid w:val="007D5E99"/>
    <w:rsid w:val="007D6405"/>
    <w:rsid w:val="007D6CE2"/>
    <w:rsid w:val="007D6F98"/>
    <w:rsid w:val="007D757B"/>
    <w:rsid w:val="007E1455"/>
    <w:rsid w:val="007E199B"/>
    <w:rsid w:val="007E1E88"/>
    <w:rsid w:val="007E283F"/>
    <w:rsid w:val="007E3988"/>
    <w:rsid w:val="007E3BF7"/>
    <w:rsid w:val="007E3C37"/>
    <w:rsid w:val="007E4947"/>
    <w:rsid w:val="007E55EF"/>
    <w:rsid w:val="007E6952"/>
    <w:rsid w:val="007E6C6B"/>
    <w:rsid w:val="007E73F7"/>
    <w:rsid w:val="007E7712"/>
    <w:rsid w:val="007E7DED"/>
    <w:rsid w:val="007F0D9D"/>
    <w:rsid w:val="007F1214"/>
    <w:rsid w:val="007F1383"/>
    <w:rsid w:val="007F1D2A"/>
    <w:rsid w:val="007F2886"/>
    <w:rsid w:val="007F30BC"/>
    <w:rsid w:val="007F3107"/>
    <w:rsid w:val="007F343C"/>
    <w:rsid w:val="007F3A4E"/>
    <w:rsid w:val="007F4209"/>
    <w:rsid w:val="007F4742"/>
    <w:rsid w:val="007F486B"/>
    <w:rsid w:val="007F537F"/>
    <w:rsid w:val="007F5763"/>
    <w:rsid w:val="007F624E"/>
    <w:rsid w:val="007F627F"/>
    <w:rsid w:val="007F6A83"/>
    <w:rsid w:val="007F6B7A"/>
    <w:rsid w:val="007F6D31"/>
    <w:rsid w:val="007F6F06"/>
    <w:rsid w:val="007F6FAA"/>
    <w:rsid w:val="00800FAE"/>
    <w:rsid w:val="008011C9"/>
    <w:rsid w:val="00801AF9"/>
    <w:rsid w:val="00802405"/>
    <w:rsid w:val="00802B9D"/>
    <w:rsid w:val="0080351A"/>
    <w:rsid w:val="00803723"/>
    <w:rsid w:val="008038EA"/>
    <w:rsid w:val="008054DD"/>
    <w:rsid w:val="008058F3"/>
    <w:rsid w:val="008077EA"/>
    <w:rsid w:val="0081055F"/>
    <w:rsid w:val="008106D9"/>
    <w:rsid w:val="008109CF"/>
    <w:rsid w:val="00810E34"/>
    <w:rsid w:val="00811B5E"/>
    <w:rsid w:val="00812D3D"/>
    <w:rsid w:val="00813224"/>
    <w:rsid w:val="00813D1E"/>
    <w:rsid w:val="00814333"/>
    <w:rsid w:val="0081443B"/>
    <w:rsid w:val="00814A61"/>
    <w:rsid w:val="00815165"/>
    <w:rsid w:val="008158A0"/>
    <w:rsid w:val="00817168"/>
    <w:rsid w:val="00817D4E"/>
    <w:rsid w:val="00817E08"/>
    <w:rsid w:val="00817FB1"/>
    <w:rsid w:val="008206A3"/>
    <w:rsid w:val="00820A30"/>
    <w:rsid w:val="00820D60"/>
    <w:rsid w:val="00820E84"/>
    <w:rsid w:val="008215C1"/>
    <w:rsid w:val="00821BCD"/>
    <w:rsid w:val="00821D85"/>
    <w:rsid w:val="00822200"/>
    <w:rsid w:val="008222CA"/>
    <w:rsid w:val="00822803"/>
    <w:rsid w:val="00822FB7"/>
    <w:rsid w:val="008235C0"/>
    <w:rsid w:val="0082394C"/>
    <w:rsid w:val="008243EA"/>
    <w:rsid w:val="008248B2"/>
    <w:rsid w:val="008255A6"/>
    <w:rsid w:val="0082588F"/>
    <w:rsid w:val="0082785D"/>
    <w:rsid w:val="00827987"/>
    <w:rsid w:val="00830355"/>
    <w:rsid w:val="008308BC"/>
    <w:rsid w:val="00830A25"/>
    <w:rsid w:val="00830B14"/>
    <w:rsid w:val="00830FC5"/>
    <w:rsid w:val="008312CB"/>
    <w:rsid w:val="008316DD"/>
    <w:rsid w:val="0083191F"/>
    <w:rsid w:val="00831C29"/>
    <w:rsid w:val="00832472"/>
    <w:rsid w:val="00833ECA"/>
    <w:rsid w:val="0083425D"/>
    <w:rsid w:val="00835250"/>
    <w:rsid w:val="008353F9"/>
    <w:rsid w:val="0083543A"/>
    <w:rsid w:val="00836336"/>
    <w:rsid w:val="008369D4"/>
    <w:rsid w:val="00836F22"/>
    <w:rsid w:val="00837873"/>
    <w:rsid w:val="008404AB"/>
    <w:rsid w:val="00840768"/>
    <w:rsid w:val="00840EB4"/>
    <w:rsid w:val="00841EA6"/>
    <w:rsid w:val="0084365D"/>
    <w:rsid w:val="00843AEB"/>
    <w:rsid w:val="00844DA5"/>
    <w:rsid w:val="00845074"/>
    <w:rsid w:val="0084527D"/>
    <w:rsid w:val="00845841"/>
    <w:rsid w:val="00845987"/>
    <w:rsid w:val="00845D66"/>
    <w:rsid w:val="00846280"/>
    <w:rsid w:val="00846308"/>
    <w:rsid w:val="008466FA"/>
    <w:rsid w:val="0084675C"/>
    <w:rsid w:val="0085002C"/>
    <w:rsid w:val="00850196"/>
    <w:rsid w:val="0085020E"/>
    <w:rsid w:val="008503B4"/>
    <w:rsid w:val="00852CDD"/>
    <w:rsid w:val="00853488"/>
    <w:rsid w:val="008534C9"/>
    <w:rsid w:val="00853BC8"/>
    <w:rsid w:val="00853CE1"/>
    <w:rsid w:val="00854E8A"/>
    <w:rsid w:val="00854FC0"/>
    <w:rsid w:val="008559C7"/>
    <w:rsid w:val="00855BF0"/>
    <w:rsid w:val="008561CC"/>
    <w:rsid w:val="00856B53"/>
    <w:rsid w:val="008576D7"/>
    <w:rsid w:val="00857A8C"/>
    <w:rsid w:val="008604D8"/>
    <w:rsid w:val="00860DF6"/>
    <w:rsid w:val="00861319"/>
    <w:rsid w:val="0086241E"/>
    <w:rsid w:val="008624F3"/>
    <w:rsid w:val="00862949"/>
    <w:rsid w:val="00862A41"/>
    <w:rsid w:val="00862B02"/>
    <w:rsid w:val="00863455"/>
    <w:rsid w:val="00863CB1"/>
    <w:rsid w:val="00863E1E"/>
    <w:rsid w:val="00863FC9"/>
    <w:rsid w:val="008640DA"/>
    <w:rsid w:val="00864514"/>
    <w:rsid w:val="00864A45"/>
    <w:rsid w:val="00864B09"/>
    <w:rsid w:val="00865551"/>
    <w:rsid w:val="0086561A"/>
    <w:rsid w:val="008664C7"/>
    <w:rsid w:val="00866766"/>
    <w:rsid w:val="00867C9D"/>
    <w:rsid w:val="00870477"/>
    <w:rsid w:val="00870523"/>
    <w:rsid w:val="0087053A"/>
    <w:rsid w:val="00870577"/>
    <w:rsid w:val="00871745"/>
    <w:rsid w:val="00871875"/>
    <w:rsid w:val="00871C42"/>
    <w:rsid w:val="00871E59"/>
    <w:rsid w:val="00872E69"/>
    <w:rsid w:val="0087355A"/>
    <w:rsid w:val="0087413A"/>
    <w:rsid w:val="008755BB"/>
    <w:rsid w:val="00875618"/>
    <w:rsid w:val="00875855"/>
    <w:rsid w:val="00875FFA"/>
    <w:rsid w:val="00876388"/>
    <w:rsid w:val="008763B4"/>
    <w:rsid w:val="00876C41"/>
    <w:rsid w:val="00876E18"/>
    <w:rsid w:val="00876E6C"/>
    <w:rsid w:val="008773E1"/>
    <w:rsid w:val="00877AD1"/>
    <w:rsid w:val="00880283"/>
    <w:rsid w:val="0088082F"/>
    <w:rsid w:val="00880B5A"/>
    <w:rsid w:val="008810B4"/>
    <w:rsid w:val="008812EF"/>
    <w:rsid w:val="00883C7D"/>
    <w:rsid w:val="0088420B"/>
    <w:rsid w:val="008845B0"/>
    <w:rsid w:val="008856A1"/>
    <w:rsid w:val="00885CC2"/>
    <w:rsid w:val="00885E50"/>
    <w:rsid w:val="008862CF"/>
    <w:rsid w:val="0088633B"/>
    <w:rsid w:val="00886C7E"/>
    <w:rsid w:val="0088702D"/>
    <w:rsid w:val="0089097F"/>
    <w:rsid w:val="00890FD7"/>
    <w:rsid w:val="00891303"/>
    <w:rsid w:val="008923B6"/>
    <w:rsid w:val="0089240E"/>
    <w:rsid w:val="008924AA"/>
    <w:rsid w:val="008932FC"/>
    <w:rsid w:val="008933EC"/>
    <w:rsid w:val="00893C88"/>
    <w:rsid w:val="00895317"/>
    <w:rsid w:val="00895C1A"/>
    <w:rsid w:val="008960BB"/>
    <w:rsid w:val="008963AA"/>
    <w:rsid w:val="00896639"/>
    <w:rsid w:val="00897114"/>
    <w:rsid w:val="00897D02"/>
    <w:rsid w:val="008A1230"/>
    <w:rsid w:val="008A16DA"/>
    <w:rsid w:val="008A19E3"/>
    <w:rsid w:val="008A1A8A"/>
    <w:rsid w:val="008A2445"/>
    <w:rsid w:val="008A28F1"/>
    <w:rsid w:val="008A2F83"/>
    <w:rsid w:val="008A3A23"/>
    <w:rsid w:val="008A3EB6"/>
    <w:rsid w:val="008A426E"/>
    <w:rsid w:val="008A460C"/>
    <w:rsid w:val="008A4806"/>
    <w:rsid w:val="008A56EC"/>
    <w:rsid w:val="008A69E5"/>
    <w:rsid w:val="008A71CB"/>
    <w:rsid w:val="008A77BD"/>
    <w:rsid w:val="008A7E2F"/>
    <w:rsid w:val="008B15F8"/>
    <w:rsid w:val="008B2040"/>
    <w:rsid w:val="008B3B51"/>
    <w:rsid w:val="008B3D56"/>
    <w:rsid w:val="008B40A5"/>
    <w:rsid w:val="008B4721"/>
    <w:rsid w:val="008B4B80"/>
    <w:rsid w:val="008B4B9C"/>
    <w:rsid w:val="008B4D21"/>
    <w:rsid w:val="008B4EEF"/>
    <w:rsid w:val="008B62C0"/>
    <w:rsid w:val="008B7342"/>
    <w:rsid w:val="008C0A76"/>
    <w:rsid w:val="008C0DE7"/>
    <w:rsid w:val="008C10B7"/>
    <w:rsid w:val="008C19EB"/>
    <w:rsid w:val="008C1A37"/>
    <w:rsid w:val="008C26DB"/>
    <w:rsid w:val="008C36F2"/>
    <w:rsid w:val="008C42E6"/>
    <w:rsid w:val="008C43F3"/>
    <w:rsid w:val="008C478D"/>
    <w:rsid w:val="008C492C"/>
    <w:rsid w:val="008C5C35"/>
    <w:rsid w:val="008C5DDC"/>
    <w:rsid w:val="008C7E8F"/>
    <w:rsid w:val="008D0697"/>
    <w:rsid w:val="008D07E2"/>
    <w:rsid w:val="008D0A42"/>
    <w:rsid w:val="008D0D2A"/>
    <w:rsid w:val="008D1041"/>
    <w:rsid w:val="008D13F1"/>
    <w:rsid w:val="008D14B8"/>
    <w:rsid w:val="008D17C8"/>
    <w:rsid w:val="008D26A5"/>
    <w:rsid w:val="008D2718"/>
    <w:rsid w:val="008D2FE3"/>
    <w:rsid w:val="008D384D"/>
    <w:rsid w:val="008D4432"/>
    <w:rsid w:val="008D4BE5"/>
    <w:rsid w:val="008D597B"/>
    <w:rsid w:val="008D6D7B"/>
    <w:rsid w:val="008D7311"/>
    <w:rsid w:val="008D74E6"/>
    <w:rsid w:val="008D76DC"/>
    <w:rsid w:val="008D7994"/>
    <w:rsid w:val="008E0BCE"/>
    <w:rsid w:val="008E0E9A"/>
    <w:rsid w:val="008E124A"/>
    <w:rsid w:val="008E1597"/>
    <w:rsid w:val="008E3212"/>
    <w:rsid w:val="008E3249"/>
    <w:rsid w:val="008E3267"/>
    <w:rsid w:val="008E43AC"/>
    <w:rsid w:val="008E4ED3"/>
    <w:rsid w:val="008E4FA8"/>
    <w:rsid w:val="008E5E12"/>
    <w:rsid w:val="008E6203"/>
    <w:rsid w:val="008E6217"/>
    <w:rsid w:val="008E6D4D"/>
    <w:rsid w:val="008E7146"/>
    <w:rsid w:val="008E7ECD"/>
    <w:rsid w:val="008F03B9"/>
    <w:rsid w:val="008F160F"/>
    <w:rsid w:val="008F1D14"/>
    <w:rsid w:val="008F27E8"/>
    <w:rsid w:val="008F2A6E"/>
    <w:rsid w:val="008F2CA5"/>
    <w:rsid w:val="008F2F62"/>
    <w:rsid w:val="008F3239"/>
    <w:rsid w:val="008F37A2"/>
    <w:rsid w:val="008F46C5"/>
    <w:rsid w:val="008F4A17"/>
    <w:rsid w:val="008F7922"/>
    <w:rsid w:val="008F7D8D"/>
    <w:rsid w:val="00900377"/>
    <w:rsid w:val="009005FC"/>
    <w:rsid w:val="00900C7A"/>
    <w:rsid w:val="009010E8"/>
    <w:rsid w:val="00902E35"/>
    <w:rsid w:val="00903452"/>
    <w:rsid w:val="0090367A"/>
    <w:rsid w:val="00903F68"/>
    <w:rsid w:val="00904D6A"/>
    <w:rsid w:val="00905675"/>
    <w:rsid w:val="00905796"/>
    <w:rsid w:val="00905CCF"/>
    <w:rsid w:val="00905FEE"/>
    <w:rsid w:val="0090643F"/>
    <w:rsid w:val="009156EC"/>
    <w:rsid w:val="00915E30"/>
    <w:rsid w:val="00916DE7"/>
    <w:rsid w:val="00916FE5"/>
    <w:rsid w:val="009172BE"/>
    <w:rsid w:val="00920158"/>
    <w:rsid w:val="009204E1"/>
    <w:rsid w:val="0092269C"/>
    <w:rsid w:val="00923803"/>
    <w:rsid w:val="00924965"/>
    <w:rsid w:val="00924A95"/>
    <w:rsid w:val="009261F7"/>
    <w:rsid w:val="0092656F"/>
    <w:rsid w:val="00926CAD"/>
    <w:rsid w:val="009272B2"/>
    <w:rsid w:val="009272EC"/>
    <w:rsid w:val="00927641"/>
    <w:rsid w:val="0092769E"/>
    <w:rsid w:val="00927755"/>
    <w:rsid w:val="00927C7A"/>
    <w:rsid w:val="00927DFF"/>
    <w:rsid w:val="00930D26"/>
    <w:rsid w:val="00931267"/>
    <w:rsid w:val="0093150C"/>
    <w:rsid w:val="00932348"/>
    <w:rsid w:val="0093419B"/>
    <w:rsid w:val="00934667"/>
    <w:rsid w:val="009347DA"/>
    <w:rsid w:val="00936B9D"/>
    <w:rsid w:val="00936E1E"/>
    <w:rsid w:val="00936F74"/>
    <w:rsid w:val="009371DA"/>
    <w:rsid w:val="0094057F"/>
    <w:rsid w:val="009411D9"/>
    <w:rsid w:val="0094191A"/>
    <w:rsid w:val="00941ADA"/>
    <w:rsid w:val="00943739"/>
    <w:rsid w:val="009441C3"/>
    <w:rsid w:val="00944335"/>
    <w:rsid w:val="00944ED9"/>
    <w:rsid w:val="00945260"/>
    <w:rsid w:val="009461D2"/>
    <w:rsid w:val="00946F68"/>
    <w:rsid w:val="00947310"/>
    <w:rsid w:val="00947379"/>
    <w:rsid w:val="009475EE"/>
    <w:rsid w:val="00950324"/>
    <w:rsid w:val="0095045A"/>
    <w:rsid w:val="00950E7C"/>
    <w:rsid w:val="00950F33"/>
    <w:rsid w:val="00951BAC"/>
    <w:rsid w:val="009526B8"/>
    <w:rsid w:val="009545C4"/>
    <w:rsid w:val="00956467"/>
    <w:rsid w:val="00956512"/>
    <w:rsid w:val="009566B7"/>
    <w:rsid w:val="00956776"/>
    <w:rsid w:val="00956845"/>
    <w:rsid w:val="00956973"/>
    <w:rsid w:val="00957B79"/>
    <w:rsid w:val="00957B94"/>
    <w:rsid w:val="00957E16"/>
    <w:rsid w:val="009603E5"/>
    <w:rsid w:val="00960488"/>
    <w:rsid w:val="00960687"/>
    <w:rsid w:val="0096085A"/>
    <w:rsid w:val="00960D03"/>
    <w:rsid w:val="0096100E"/>
    <w:rsid w:val="00961D4E"/>
    <w:rsid w:val="00961D8F"/>
    <w:rsid w:val="00961E6C"/>
    <w:rsid w:val="009622A4"/>
    <w:rsid w:val="00962F59"/>
    <w:rsid w:val="00964A8C"/>
    <w:rsid w:val="00965543"/>
    <w:rsid w:val="00966BB2"/>
    <w:rsid w:val="00966E16"/>
    <w:rsid w:val="0096747C"/>
    <w:rsid w:val="009679A8"/>
    <w:rsid w:val="00967EDE"/>
    <w:rsid w:val="00970B66"/>
    <w:rsid w:val="00972225"/>
    <w:rsid w:val="00972568"/>
    <w:rsid w:val="009725A3"/>
    <w:rsid w:val="009736C5"/>
    <w:rsid w:val="00973848"/>
    <w:rsid w:val="00973AD7"/>
    <w:rsid w:val="00974AC1"/>
    <w:rsid w:val="009751A4"/>
    <w:rsid w:val="009753DC"/>
    <w:rsid w:val="00975ADE"/>
    <w:rsid w:val="00975AE9"/>
    <w:rsid w:val="00975CEA"/>
    <w:rsid w:val="00975CF9"/>
    <w:rsid w:val="00975D46"/>
    <w:rsid w:val="009771A3"/>
    <w:rsid w:val="009773CE"/>
    <w:rsid w:val="009773D8"/>
    <w:rsid w:val="00977DB2"/>
    <w:rsid w:val="00980593"/>
    <w:rsid w:val="00981492"/>
    <w:rsid w:val="00981623"/>
    <w:rsid w:val="00982114"/>
    <w:rsid w:val="00982255"/>
    <w:rsid w:val="00983727"/>
    <w:rsid w:val="0098373E"/>
    <w:rsid w:val="0098453D"/>
    <w:rsid w:val="00984B05"/>
    <w:rsid w:val="00985085"/>
    <w:rsid w:val="0098646D"/>
    <w:rsid w:val="0098722F"/>
    <w:rsid w:val="00987C81"/>
    <w:rsid w:val="00987E92"/>
    <w:rsid w:val="0099069C"/>
    <w:rsid w:val="0099086C"/>
    <w:rsid w:val="00990A35"/>
    <w:rsid w:val="00990A51"/>
    <w:rsid w:val="0099166E"/>
    <w:rsid w:val="00992268"/>
    <w:rsid w:val="009924AB"/>
    <w:rsid w:val="00992724"/>
    <w:rsid w:val="0099352D"/>
    <w:rsid w:val="00993A44"/>
    <w:rsid w:val="009947C8"/>
    <w:rsid w:val="00996878"/>
    <w:rsid w:val="009969BE"/>
    <w:rsid w:val="00996BE8"/>
    <w:rsid w:val="009A0463"/>
    <w:rsid w:val="009A0920"/>
    <w:rsid w:val="009A0C37"/>
    <w:rsid w:val="009A0CF0"/>
    <w:rsid w:val="009A1125"/>
    <w:rsid w:val="009A14F0"/>
    <w:rsid w:val="009A2C92"/>
    <w:rsid w:val="009A48A4"/>
    <w:rsid w:val="009A553F"/>
    <w:rsid w:val="009A55AF"/>
    <w:rsid w:val="009A5FEA"/>
    <w:rsid w:val="009A6531"/>
    <w:rsid w:val="009A6AE9"/>
    <w:rsid w:val="009A6B28"/>
    <w:rsid w:val="009A777C"/>
    <w:rsid w:val="009B0126"/>
    <w:rsid w:val="009B0464"/>
    <w:rsid w:val="009B0B1A"/>
    <w:rsid w:val="009B1179"/>
    <w:rsid w:val="009B2D2F"/>
    <w:rsid w:val="009B3411"/>
    <w:rsid w:val="009B426F"/>
    <w:rsid w:val="009B48EB"/>
    <w:rsid w:val="009B4AE4"/>
    <w:rsid w:val="009B4BEE"/>
    <w:rsid w:val="009B57C4"/>
    <w:rsid w:val="009B5973"/>
    <w:rsid w:val="009B5BBA"/>
    <w:rsid w:val="009B5D38"/>
    <w:rsid w:val="009B67EE"/>
    <w:rsid w:val="009B6A1A"/>
    <w:rsid w:val="009B6E53"/>
    <w:rsid w:val="009B75F8"/>
    <w:rsid w:val="009B7731"/>
    <w:rsid w:val="009B796B"/>
    <w:rsid w:val="009C1277"/>
    <w:rsid w:val="009C194F"/>
    <w:rsid w:val="009C19F0"/>
    <w:rsid w:val="009C28E9"/>
    <w:rsid w:val="009C306F"/>
    <w:rsid w:val="009C30B5"/>
    <w:rsid w:val="009C3113"/>
    <w:rsid w:val="009C3156"/>
    <w:rsid w:val="009C370B"/>
    <w:rsid w:val="009C3D57"/>
    <w:rsid w:val="009C6056"/>
    <w:rsid w:val="009C6261"/>
    <w:rsid w:val="009C6DF8"/>
    <w:rsid w:val="009C7139"/>
    <w:rsid w:val="009C7303"/>
    <w:rsid w:val="009C7D64"/>
    <w:rsid w:val="009C7FEA"/>
    <w:rsid w:val="009D088D"/>
    <w:rsid w:val="009D0E90"/>
    <w:rsid w:val="009D1B98"/>
    <w:rsid w:val="009D2343"/>
    <w:rsid w:val="009D2F4A"/>
    <w:rsid w:val="009D3B1D"/>
    <w:rsid w:val="009D3C13"/>
    <w:rsid w:val="009D40C9"/>
    <w:rsid w:val="009D41E2"/>
    <w:rsid w:val="009D42FD"/>
    <w:rsid w:val="009D5C79"/>
    <w:rsid w:val="009D5CBE"/>
    <w:rsid w:val="009D6B7B"/>
    <w:rsid w:val="009D6D1E"/>
    <w:rsid w:val="009D7723"/>
    <w:rsid w:val="009D7FDB"/>
    <w:rsid w:val="009E147E"/>
    <w:rsid w:val="009E14D2"/>
    <w:rsid w:val="009E1A2E"/>
    <w:rsid w:val="009E3125"/>
    <w:rsid w:val="009E4839"/>
    <w:rsid w:val="009E4C5A"/>
    <w:rsid w:val="009E4EAF"/>
    <w:rsid w:val="009E588F"/>
    <w:rsid w:val="009E5EEA"/>
    <w:rsid w:val="009E6826"/>
    <w:rsid w:val="009E6CF7"/>
    <w:rsid w:val="009E70E9"/>
    <w:rsid w:val="009F01EA"/>
    <w:rsid w:val="009F038D"/>
    <w:rsid w:val="009F0727"/>
    <w:rsid w:val="009F0893"/>
    <w:rsid w:val="009F0ACB"/>
    <w:rsid w:val="009F161E"/>
    <w:rsid w:val="009F3D98"/>
    <w:rsid w:val="009F4000"/>
    <w:rsid w:val="009F412A"/>
    <w:rsid w:val="009F4980"/>
    <w:rsid w:val="009F68B2"/>
    <w:rsid w:val="009F779B"/>
    <w:rsid w:val="009F799A"/>
    <w:rsid w:val="009F7A94"/>
    <w:rsid w:val="00A01371"/>
    <w:rsid w:val="00A01D35"/>
    <w:rsid w:val="00A0252F"/>
    <w:rsid w:val="00A0377C"/>
    <w:rsid w:val="00A04092"/>
    <w:rsid w:val="00A0410F"/>
    <w:rsid w:val="00A0448B"/>
    <w:rsid w:val="00A04A18"/>
    <w:rsid w:val="00A04A92"/>
    <w:rsid w:val="00A04AF5"/>
    <w:rsid w:val="00A05B8F"/>
    <w:rsid w:val="00A0696D"/>
    <w:rsid w:val="00A06B39"/>
    <w:rsid w:val="00A06E3A"/>
    <w:rsid w:val="00A075AF"/>
    <w:rsid w:val="00A07811"/>
    <w:rsid w:val="00A104FE"/>
    <w:rsid w:val="00A11CE9"/>
    <w:rsid w:val="00A11EB6"/>
    <w:rsid w:val="00A120F1"/>
    <w:rsid w:val="00A12D85"/>
    <w:rsid w:val="00A131F4"/>
    <w:rsid w:val="00A13238"/>
    <w:rsid w:val="00A134DF"/>
    <w:rsid w:val="00A1395D"/>
    <w:rsid w:val="00A13CF1"/>
    <w:rsid w:val="00A13F8B"/>
    <w:rsid w:val="00A13FCA"/>
    <w:rsid w:val="00A143A1"/>
    <w:rsid w:val="00A14E4E"/>
    <w:rsid w:val="00A1516D"/>
    <w:rsid w:val="00A158E0"/>
    <w:rsid w:val="00A15B15"/>
    <w:rsid w:val="00A15C1C"/>
    <w:rsid w:val="00A16D3E"/>
    <w:rsid w:val="00A1736B"/>
    <w:rsid w:val="00A17D30"/>
    <w:rsid w:val="00A17ED2"/>
    <w:rsid w:val="00A20608"/>
    <w:rsid w:val="00A20AE9"/>
    <w:rsid w:val="00A20CCB"/>
    <w:rsid w:val="00A20DDE"/>
    <w:rsid w:val="00A2146A"/>
    <w:rsid w:val="00A221F3"/>
    <w:rsid w:val="00A22E8E"/>
    <w:rsid w:val="00A23665"/>
    <w:rsid w:val="00A23EAA"/>
    <w:rsid w:val="00A23EC9"/>
    <w:rsid w:val="00A24A9C"/>
    <w:rsid w:val="00A25092"/>
    <w:rsid w:val="00A25816"/>
    <w:rsid w:val="00A2600C"/>
    <w:rsid w:val="00A2636A"/>
    <w:rsid w:val="00A263C6"/>
    <w:rsid w:val="00A26941"/>
    <w:rsid w:val="00A274A8"/>
    <w:rsid w:val="00A279F0"/>
    <w:rsid w:val="00A27A78"/>
    <w:rsid w:val="00A27E10"/>
    <w:rsid w:val="00A30125"/>
    <w:rsid w:val="00A30332"/>
    <w:rsid w:val="00A30647"/>
    <w:rsid w:val="00A316F4"/>
    <w:rsid w:val="00A31947"/>
    <w:rsid w:val="00A319DA"/>
    <w:rsid w:val="00A31FDE"/>
    <w:rsid w:val="00A32A0F"/>
    <w:rsid w:val="00A32B98"/>
    <w:rsid w:val="00A35314"/>
    <w:rsid w:val="00A35992"/>
    <w:rsid w:val="00A35CA8"/>
    <w:rsid w:val="00A35E7A"/>
    <w:rsid w:val="00A366A0"/>
    <w:rsid w:val="00A36A0D"/>
    <w:rsid w:val="00A36DE6"/>
    <w:rsid w:val="00A373BD"/>
    <w:rsid w:val="00A379BC"/>
    <w:rsid w:val="00A400E7"/>
    <w:rsid w:val="00A41FAC"/>
    <w:rsid w:val="00A42353"/>
    <w:rsid w:val="00A42716"/>
    <w:rsid w:val="00A43462"/>
    <w:rsid w:val="00A435FE"/>
    <w:rsid w:val="00A44014"/>
    <w:rsid w:val="00A440F7"/>
    <w:rsid w:val="00A44119"/>
    <w:rsid w:val="00A4445D"/>
    <w:rsid w:val="00A44DB9"/>
    <w:rsid w:val="00A45018"/>
    <w:rsid w:val="00A45679"/>
    <w:rsid w:val="00A45C95"/>
    <w:rsid w:val="00A47F51"/>
    <w:rsid w:val="00A5028A"/>
    <w:rsid w:val="00A510E5"/>
    <w:rsid w:val="00A51C49"/>
    <w:rsid w:val="00A51EBD"/>
    <w:rsid w:val="00A51F11"/>
    <w:rsid w:val="00A522AE"/>
    <w:rsid w:val="00A526D7"/>
    <w:rsid w:val="00A527FB"/>
    <w:rsid w:val="00A53695"/>
    <w:rsid w:val="00A53BBB"/>
    <w:rsid w:val="00A54756"/>
    <w:rsid w:val="00A54A9D"/>
    <w:rsid w:val="00A54F14"/>
    <w:rsid w:val="00A55DB6"/>
    <w:rsid w:val="00A564BF"/>
    <w:rsid w:val="00A56779"/>
    <w:rsid w:val="00A56CD4"/>
    <w:rsid w:val="00A576DB"/>
    <w:rsid w:val="00A5796B"/>
    <w:rsid w:val="00A60331"/>
    <w:rsid w:val="00A605C0"/>
    <w:rsid w:val="00A60C47"/>
    <w:rsid w:val="00A61D3B"/>
    <w:rsid w:val="00A61D6C"/>
    <w:rsid w:val="00A62019"/>
    <w:rsid w:val="00A62527"/>
    <w:rsid w:val="00A63832"/>
    <w:rsid w:val="00A63A20"/>
    <w:rsid w:val="00A64C68"/>
    <w:rsid w:val="00A6517D"/>
    <w:rsid w:val="00A66001"/>
    <w:rsid w:val="00A660EB"/>
    <w:rsid w:val="00A66142"/>
    <w:rsid w:val="00A66463"/>
    <w:rsid w:val="00A6775F"/>
    <w:rsid w:val="00A67A55"/>
    <w:rsid w:val="00A70104"/>
    <w:rsid w:val="00A703C4"/>
    <w:rsid w:val="00A70C7F"/>
    <w:rsid w:val="00A70F03"/>
    <w:rsid w:val="00A71B72"/>
    <w:rsid w:val="00A725BB"/>
    <w:rsid w:val="00A72BEE"/>
    <w:rsid w:val="00A7456C"/>
    <w:rsid w:val="00A747D6"/>
    <w:rsid w:val="00A752B5"/>
    <w:rsid w:val="00A764F6"/>
    <w:rsid w:val="00A76C24"/>
    <w:rsid w:val="00A80702"/>
    <w:rsid w:val="00A810A3"/>
    <w:rsid w:val="00A81A41"/>
    <w:rsid w:val="00A81CDD"/>
    <w:rsid w:val="00A8232C"/>
    <w:rsid w:val="00A82871"/>
    <w:rsid w:val="00A838F4"/>
    <w:rsid w:val="00A83A00"/>
    <w:rsid w:val="00A843AD"/>
    <w:rsid w:val="00A85C7E"/>
    <w:rsid w:val="00A8646B"/>
    <w:rsid w:val="00A864E5"/>
    <w:rsid w:val="00A9102D"/>
    <w:rsid w:val="00A912F5"/>
    <w:rsid w:val="00A92269"/>
    <w:rsid w:val="00A9247A"/>
    <w:rsid w:val="00A92FF2"/>
    <w:rsid w:val="00A934B0"/>
    <w:rsid w:val="00A9362C"/>
    <w:rsid w:val="00A94016"/>
    <w:rsid w:val="00A96AC5"/>
    <w:rsid w:val="00A97107"/>
    <w:rsid w:val="00A97424"/>
    <w:rsid w:val="00AA03F2"/>
    <w:rsid w:val="00AA0464"/>
    <w:rsid w:val="00AA04C6"/>
    <w:rsid w:val="00AA0616"/>
    <w:rsid w:val="00AA27F0"/>
    <w:rsid w:val="00AA3693"/>
    <w:rsid w:val="00AA4256"/>
    <w:rsid w:val="00AA4628"/>
    <w:rsid w:val="00AA48A9"/>
    <w:rsid w:val="00AA4A3A"/>
    <w:rsid w:val="00AA4ADA"/>
    <w:rsid w:val="00AA76C9"/>
    <w:rsid w:val="00AA7E57"/>
    <w:rsid w:val="00AB0141"/>
    <w:rsid w:val="00AB0734"/>
    <w:rsid w:val="00AB0E2A"/>
    <w:rsid w:val="00AB0E32"/>
    <w:rsid w:val="00AB1309"/>
    <w:rsid w:val="00AB1CA5"/>
    <w:rsid w:val="00AB2634"/>
    <w:rsid w:val="00AB2A78"/>
    <w:rsid w:val="00AB3013"/>
    <w:rsid w:val="00AB3523"/>
    <w:rsid w:val="00AB4310"/>
    <w:rsid w:val="00AB4C09"/>
    <w:rsid w:val="00AB4EAB"/>
    <w:rsid w:val="00AB4F47"/>
    <w:rsid w:val="00AB5D07"/>
    <w:rsid w:val="00AB60C9"/>
    <w:rsid w:val="00AB61A5"/>
    <w:rsid w:val="00AB65A1"/>
    <w:rsid w:val="00AC1908"/>
    <w:rsid w:val="00AC27FC"/>
    <w:rsid w:val="00AC2C9A"/>
    <w:rsid w:val="00AC3475"/>
    <w:rsid w:val="00AC37E2"/>
    <w:rsid w:val="00AC3D07"/>
    <w:rsid w:val="00AC3E1C"/>
    <w:rsid w:val="00AC4148"/>
    <w:rsid w:val="00AC42D1"/>
    <w:rsid w:val="00AC4EFB"/>
    <w:rsid w:val="00AC546B"/>
    <w:rsid w:val="00AC5A30"/>
    <w:rsid w:val="00AC6A4B"/>
    <w:rsid w:val="00AC6E40"/>
    <w:rsid w:val="00AC7345"/>
    <w:rsid w:val="00AC73E8"/>
    <w:rsid w:val="00AC74DD"/>
    <w:rsid w:val="00AD0866"/>
    <w:rsid w:val="00AD0B1B"/>
    <w:rsid w:val="00AD0E4C"/>
    <w:rsid w:val="00AD126F"/>
    <w:rsid w:val="00AD1382"/>
    <w:rsid w:val="00AD1915"/>
    <w:rsid w:val="00AD1EDA"/>
    <w:rsid w:val="00AD2215"/>
    <w:rsid w:val="00AD27F2"/>
    <w:rsid w:val="00AD31CF"/>
    <w:rsid w:val="00AD4030"/>
    <w:rsid w:val="00AD6921"/>
    <w:rsid w:val="00AD6DA0"/>
    <w:rsid w:val="00AD6DB2"/>
    <w:rsid w:val="00AD71ED"/>
    <w:rsid w:val="00AD7244"/>
    <w:rsid w:val="00AE12E1"/>
    <w:rsid w:val="00AE13C6"/>
    <w:rsid w:val="00AE2029"/>
    <w:rsid w:val="00AE2E08"/>
    <w:rsid w:val="00AE2EBC"/>
    <w:rsid w:val="00AE40EA"/>
    <w:rsid w:val="00AE4E93"/>
    <w:rsid w:val="00AE5C29"/>
    <w:rsid w:val="00AE6251"/>
    <w:rsid w:val="00AE7E41"/>
    <w:rsid w:val="00AF0640"/>
    <w:rsid w:val="00AF0898"/>
    <w:rsid w:val="00AF09CB"/>
    <w:rsid w:val="00AF14C1"/>
    <w:rsid w:val="00AF1926"/>
    <w:rsid w:val="00AF246A"/>
    <w:rsid w:val="00AF2880"/>
    <w:rsid w:val="00AF2B44"/>
    <w:rsid w:val="00AF42B4"/>
    <w:rsid w:val="00AF42ED"/>
    <w:rsid w:val="00AF4747"/>
    <w:rsid w:val="00AF484D"/>
    <w:rsid w:val="00AF4AE2"/>
    <w:rsid w:val="00AF5563"/>
    <w:rsid w:val="00AF5921"/>
    <w:rsid w:val="00AF5AB4"/>
    <w:rsid w:val="00AF6516"/>
    <w:rsid w:val="00AF6642"/>
    <w:rsid w:val="00AF6A64"/>
    <w:rsid w:val="00AF6AF5"/>
    <w:rsid w:val="00AF74B2"/>
    <w:rsid w:val="00AF752B"/>
    <w:rsid w:val="00AF78F3"/>
    <w:rsid w:val="00B00E92"/>
    <w:rsid w:val="00B014FD"/>
    <w:rsid w:val="00B01F63"/>
    <w:rsid w:val="00B021FF"/>
    <w:rsid w:val="00B0220E"/>
    <w:rsid w:val="00B02488"/>
    <w:rsid w:val="00B036D2"/>
    <w:rsid w:val="00B04E86"/>
    <w:rsid w:val="00B0511F"/>
    <w:rsid w:val="00B05E0C"/>
    <w:rsid w:val="00B06D30"/>
    <w:rsid w:val="00B07DDB"/>
    <w:rsid w:val="00B105A7"/>
    <w:rsid w:val="00B108F0"/>
    <w:rsid w:val="00B11D1F"/>
    <w:rsid w:val="00B12599"/>
    <w:rsid w:val="00B12A59"/>
    <w:rsid w:val="00B12D39"/>
    <w:rsid w:val="00B13EBD"/>
    <w:rsid w:val="00B1413F"/>
    <w:rsid w:val="00B14395"/>
    <w:rsid w:val="00B14EA1"/>
    <w:rsid w:val="00B159B3"/>
    <w:rsid w:val="00B1687C"/>
    <w:rsid w:val="00B17061"/>
    <w:rsid w:val="00B172A9"/>
    <w:rsid w:val="00B17B11"/>
    <w:rsid w:val="00B17FCD"/>
    <w:rsid w:val="00B20053"/>
    <w:rsid w:val="00B2070F"/>
    <w:rsid w:val="00B20C39"/>
    <w:rsid w:val="00B20E77"/>
    <w:rsid w:val="00B211AB"/>
    <w:rsid w:val="00B217FB"/>
    <w:rsid w:val="00B2188E"/>
    <w:rsid w:val="00B21B78"/>
    <w:rsid w:val="00B21F92"/>
    <w:rsid w:val="00B22F31"/>
    <w:rsid w:val="00B2331F"/>
    <w:rsid w:val="00B24384"/>
    <w:rsid w:val="00B243C9"/>
    <w:rsid w:val="00B25500"/>
    <w:rsid w:val="00B268EC"/>
    <w:rsid w:val="00B26BCE"/>
    <w:rsid w:val="00B27353"/>
    <w:rsid w:val="00B277C7"/>
    <w:rsid w:val="00B303AE"/>
    <w:rsid w:val="00B31297"/>
    <w:rsid w:val="00B313DA"/>
    <w:rsid w:val="00B317AA"/>
    <w:rsid w:val="00B31861"/>
    <w:rsid w:val="00B32536"/>
    <w:rsid w:val="00B32C09"/>
    <w:rsid w:val="00B33660"/>
    <w:rsid w:val="00B338CB"/>
    <w:rsid w:val="00B3397F"/>
    <w:rsid w:val="00B33A5B"/>
    <w:rsid w:val="00B341C4"/>
    <w:rsid w:val="00B341D1"/>
    <w:rsid w:val="00B344EC"/>
    <w:rsid w:val="00B348C2"/>
    <w:rsid w:val="00B3566A"/>
    <w:rsid w:val="00B357DA"/>
    <w:rsid w:val="00B360C0"/>
    <w:rsid w:val="00B36F32"/>
    <w:rsid w:val="00B37482"/>
    <w:rsid w:val="00B37722"/>
    <w:rsid w:val="00B37AD7"/>
    <w:rsid w:val="00B407F3"/>
    <w:rsid w:val="00B41A08"/>
    <w:rsid w:val="00B436E8"/>
    <w:rsid w:val="00B43A0A"/>
    <w:rsid w:val="00B44E0B"/>
    <w:rsid w:val="00B45360"/>
    <w:rsid w:val="00B45B42"/>
    <w:rsid w:val="00B45E5B"/>
    <w:rsid w:val="00B46319"/>
    <w:rsid w:val="00B4665B"/>
    <w:rsid w:val="00B46C28"/>
    <w:rsid w:val="00B46DB8"/>
    <w:rsid w:val="00B47A5A"/>
    <w:rsid w:val="00B47B2F"/>
    <w:rsid w:val="00B501AE"/>
    <w:rsid w:val="00B506B7"/>
    <w:rsid w:val="00B5091E"/>
    <w:rsid w:val="00B50F7A"/>
    <w:rsid w:val="00B510A8"/>
    <w:rsid w:val="00B519E2"/>
    <w:rsid w:val="00B51AB7"/>
    <w:rsid w:val="00B52669"/>
    <w:rsid w:val="00B53421"/>
    <w:rsid w:val="00B539D7"/>
    <w:rsid w:val="00B561F5"/>
    <w:rsid w:val="00B56262"/>
    <w:rsid w:val="00B56547"/>
    <w:rsid w:val="00B56590"/>
    <w:rsid w:val="00B56837"/>
    <w:rsid w:val="00B56EF5"/>
    <w:rsid w:val="00B571CD"/>
    <w:rsid w:val="00B605DA"/>
    <w:rsid w:val="00B60762"/>
    <w:rsid w:val="00B61CB9"/>
    <w:rsid w:val="00B61DC8"/>
    <w:rsid w:val="00B62098"/>
    <w:rsid w:val="00B623B0"/>
    <w:rsid w:val="00B62598"/>
    <w:rsid w:val="00B63490"/>
    <w:rsid w:val="00B63681"/>
    <w:rsid w:val="00B63BA9"/>
    <w:rsid w:val="00B64384"/>
    <w:rsid w:val="00B64577"/>
    <w:rsid w:val="00B64C25"/>
    <w:rsid w:val="00B65DCF"/>
    <w:rsid w:val="00B6611C"/>
    <w:rsid w:val="00B669A9"/>
    <w:rsid w:val="00B70DC5"/>
    <w:rsid w:val="00B70DDE"/>
    <w:rsid w:val="00B70E03"/>
    <w:rsid w:val="00B721A2"/>
    <w:rsid w:val="00B72861"/>
    <w:rsid w:val="00B72AA5"/>
    <w:rsid w:val="00B73E8A"/>
    <w:rsid w:val="00B73EAD"/>
    <w:rsid w:val="00B74307"/>
    <w:rsid w:val="00B7488A"/>
    <w:rsid w:val="00B74CA3"/>
    <w:rsid w:val="00B75C62"/>
    <w:rsid w:val="00B7726F"/>
    <w:rsid w:val="00B77640"/>
    <w:rsid w:val="00B778CE"/>
    <w:rsid w:val="00B77EBC"/>
    <w:rsid w:val="00B77FC4"/>
    <w:rsid w:val="00B8002C"/>
    <w:rsid w:val="00B800A4"/>
    <w:rsid w:val="00B80489"/>
    <w:rsid w:val="00B80A1D"/>
    <w:rsid w:val="00B810F9"/>
    <w:rsid w:val="00B8275D"/>
    <w:rsid w:val="00B82CFD"/>
    <w:rsid w:val="00B833F1"/>
    <w:rsid w:val="00B846CB"/>
    <w:rsid w:val="00B853E0"/>
    <w:rsid w:val="00B85DDC"/>
    <w:rsid w:val="00B865A6"/>
    <w:rsid w:val="00B869F5"/>
    <w:rsid w:val="00B878E0"/>
    <w:rsid w:val="00B87BD2"/>
    <w:rsid w:val="00B90105"/>
    <w:rsid w:val="00B9088C"/>
    <w:rsid w:val="00B911C4"/>
    <w:rsid w:val="00B91D60"/>
    <w:rsid w:val="00B91DF2"/>
    <w:rsid w:val="00B921F9"/>
    <w:rsid w:val="00B92346"/>
    <w:rsid w:val="00B930CC"/>
    <w:rsid w:val="00B94225"/>
    <w:rsid w:val="00B942E4"/>
    <w:rsid w:val="00B94BDA"/>
    <w:rsid w:val="00B94EBE"/>
    <w:rsid w:val="00B95543"/>
    <w:rsid w:val="00B96369"/>
    <w:rsid w:val="00B96842"/>
    <w:rsid w:val="00B96E7F"/>
    <w:rsid w:val="00BA06F8"/>
    <w:rsid w:val="00BA1CDD"/>
    <w:rsid w:val="00BA1E7B"/>
    <w:rsid w:val="00BA23EB"/>
    <w:rsid w:val="00BA23FF"/>
    <w:rsid w:val="00BA2AEC"/>
    <w:rsid w:val="00BA408E"/>
    <w:rsid w:val="00BA4181"/>
    <w:rsid w:val="00BA44ED"/>
    <w:rsid w:val="00BA4DCF"/>
    <w:rsid w:val="00BA59A2"/>
    <w:rsid w:val="00BA6495"/>
    <w:rsid w:val="00BA672F"/>
    <w:rsid w:val="00BA70A8"/>
    <w:rsid w:val="00BA7795"/>
    <w:rsid w:val="00BA77FF"/>
    <w:rsid w:val="00BA783C"/>
    <w:rsid w:val="00BA7885"/>
    <w:rsid w:val="00BA79B3"/>
    <w:rsid w:val="00BA7A43"/>
    <w:rsid w:val="00BB00B2"/>
    <w:rsid w:val="00BB0251"/>
    <w:rsid w:val="00BB0550"/>
    <w:rsid w:val="00BB102D"/>
    <w:rsid w:val="00BB1182"/>
    <w:rsid w:val="00BB11C8"/>
    <w:rsid w:val="00BB1B50"/>
    <w:rsid w:val="00BB287D"/>
    <w:rsid w:val="00BB2CC1"/>
    <w:rsid w:val="00BB3914"/>
    <w:rsid w:val="00BB44AB"/>
    <w:rsid w:val="00BB4647"/>
    <w:rsid w:val="00BB5023"/>
    <w:rsid w:val="00BB567F"/>
    <w:rsid w:val="00BB5BB5"/>
    <w:rsid w:val="00BB636E"/>
    <w:rsid w:val="00BB79CA"/>
    <w:rsid w:val="00BB7D6C"/>
    <w:rsid w:val="00BC0059"/>
    <w:rsid w:val="00BC0278"/>
    <w:rsid w:val="00BC06D1"/>
    <w:rsid w:val="00BC0852"/>
    <w:rsid w:val="00BC0882"/>
    <w:rsid w:val="00BC0ABD"/>
    <w:rsid w:val="00BC0AE2"/>
    <w:rsid w:val="00BC1EBA"/>
    <w:rsid w:val="00BC3165"/>
    <w:rsid w:val="00BC34DA"/>
    <w:rsid w:val="00BC3EF1"/>
    <w:rsid w:val="00BC42A8"/>
    <w:rsid w:val="00BC51F5"/>
    <w:rsid w:val="00BC5952"/>
    <w:rsid w:val="00BC6ECE"/>
    <w:rsid w:val="00BC72E4"/>
    <w:rsid w:val="00BC799B"/>
    <w:rsid w:val="00BC7F05"/>
    <w:rsid w:val="00BD0163"/>
    <w:rsid w:val="00BD01FB"/>
    <w:rsid w:val="00BD0832"/>
    <w:rsid w:val="00BD0887"/>
    <w:rsid w:val="00BD166F"/>
    <w:rsid w:val="00BD1A80"/>
    <w:rsid w:val="00BD2563"/>
    <w:rsid w:val="00BD33FF"/>
    <w:rsid w:val="00BD64EB"/>
    <w:rsid w:val="00BD65F2"/>
    <w:rsid w:val="00BD6A14"/>
    <w:rsid w:val="00BD7D2E"/>
    <w:rsid w:val="00BE05ED"/>
    <w:rsid w:val="00BE1319"/>
    <w:rsid w:val="00BE1620"/>
    <w:rsid w:val="00BE1975"/>
    <w:rsid w:val="00BE1EC2"/>
    <w:rsid w:val="00BE2277"/>
    <w:rsid w:val="00BE23F1"/>
    <w:rsid w:val="00BE38B1"/>
    <w:rsid w:val="00BE47FF"/>
    <w:rsid w:val="00BE5279"/>
    <w:rsid w:val="00BE54E6"/>
    <w:rsid w:val="00BE56B2"/>
    <w:rsid w:val="00BE606C"/>
    <w:rsid w:val="00BE6CB5"/>
    <w:rsid w:val="00BF001F"/>
    <w:rsid w:val="00BF0586"/>
    <w:rsid w:val="00BF0A3C"/>
    <w:rsid w:val="00BF127C"/>
    <w:rsid w:val="00BF194B"/>
    <w:rsid w:val="00BF1D37"/>
    <w:rsid w:val="00BF2988"/>
    <w:rsid w:val="00BF2E14"/>
    <w:rsid w:val="00BF3719"/>
    <w:rsid w:val="00BF545D"/>
    <w:rsid w:val="00BF55C4"/>
    <w:rsid w:val="00BF57F8"/>
    <w:rsid w:val="00BF5CAD"/>
    <w:rsid w:val="00BF664A"/>
    <w:rsid w:val="00BF6BBD"/>
    <w:rsid w:val="00BF784F"/>
    <w:rsid w:val="00BF7DC9"/>
    <w:rsid w:val="00BF7EAB"/>
    <w:rsid w:val="00C01D25"/>
    <w:rsid w:val="00C01FB1"/>
    <w:rsid w:val="00C027CA"/>
    <w:rsid w:val="00C02F7C"/>
    <w:rsid w:val="00C03097"/>
    <w:rsid w:val="00C034B2"/>
    <w:rsid w:val="00C035C9"/>
    <w:rsid w:val="00C041C8"/>
    <w:rsid w:val="00C0440E"/>
    <w:rsid w:val="00C046B1"/>
    <w:rsid w:val="00C04C76"/>
    <w:rsid w:val="00C06907"/>
    <w:rsid w:val="00C06E6C"/>
    <w:rsid w:val="00C06FB2"/>
    <w:rsid w:val="00C10FBD"/>
    <w:rsid w:val="00C11064"/>
    <w:rsid w:val="00C1123F"/>
    <w:rsid w:val="00C11FC0"/>
    <w:rsid w:val="00C12BD1"/>
    <w:rsid w:val="00C13570"/>
    <w:rsid w:val="00C1493E"/>
    <w:rsid w:val="00C15A2C"/>
    <w:rsid w:val="00C160E8"/>
    <w:rsid w:val="00C16AB9"/>
    <w:rsid w:val="00C1752B"/>
    <w:rsid w:val="00C1792C"/>
    <w:rsid w:val="00C20597"/>
    <w:rsid w:val="00C209F0"/>
    <w:rsid w:val="00C210B2"/>
    <w:rsid w:val="00C219F0"/>
    <w:rsid w:val="00C21E00"/>
    <w:rsid w:val="00C22829"/>
    <w:rsid w:val="00C23816"/>
    <w:rsid w:val="00C23C8B"/>
    <w:rsid w:val="00C23CFF"/>
    <w:rsid w:val="00C23E04"/>
    <w:rsid w:val="00C23E3B"/>
    <w:rsid w:val="00C23E7F"/>
    <w:rsid w:val="00C2447F"/>
    <w:rsid w:val="00C24828"/>
    <w:rsid w:val="00C24ED2"/>
    <w:rsid w:val="00C24FDB"/>
    <w:rsid w:val="00C26D83"/>
    <w:rsid w:val="00C26F96"/>
    <w:rsid w:val="00C27384"/>
    <w:rsid w:val="00C304F2"/>
    <w:rsid w:val="00C308BE"/>
    <w:rsid w:val="00C30EF6"/>
    <w:rsid w:val="00C31AF6"/>
    <w:rsid w:val="00C321AB"/>
    <w:rsid w:val="00C32FF4"/>
    <w:rsid w:val="00C34371"/>
    <w:rsid w:val="00C34B35"/>
    <w:rsid w:val="00C353C6"/>
    <w:rsid w:val="00C35761"/>
    <w:rsid w:val="00C3598E"/>
    <w:rsid w:val="00C35E59"/>
    <w:rsid w:val="00C36BED"/>
    <w:rsid w:val="00C36C42"/>
    <w:rsid w:val="00C36D8F"/>
    <w:rsid w:val="00C3741E"/>
    <w:rsid w:val="00C37EAB"/>
    <w:rsid w:val="00C403D6"/>
    <w:rsid w:val="00C407C5"/>
    <w:rsid w:val="00C408FD"/>
    <w:rsid w:val="00C409F3"/>
    <w:rsid w:val="00C40E1A"/>
    <w:rsid w:val="00C41AFD"/>
    <w:rsid w:val="00C422DC"/>
    <w:rsid w:val="00C42D33"/>
    <w:rsid w:val="00C434E7"/>
    <w:rsid w:val="00C43780"/>
    <w:rsid w:val="00C447B0"/>
    <w:rsid w:val="00C44CF1"/>
    <w:rsid w:val="00C4542A"/>
    <w:rsid w:val="00C456A1"/>
    <w:rsid w:val="00C45871"/>
    <w:rsid w:val="00C45FCF"/>
    <w:rsid w:val="00C46469"/>
    <w:rsid w:val="00C46C9A"/>
    <w:rsid w:val="00C46D89"/>
    <w:rsid w:val="00C47244"/>
    <w:rsid w:val="00C4786C"/>
    <w:rsid w:val="00C478BE"/>
    <w:rsid w:val="00C5038B"/>
    <w:rsid w:val="00C503D6"/>
    <w:rsid w:val="00C51CDF"/>
    <w:rsid w:val="00C51DAB"/>
    <w:rsid w:val="00C51F69"/>
    <w:rsid w:val="00C52128"/>
    <w:rsid w:val="00C529B8"/>
    <w:rsid w:val="00C531E9"/>
    <w:rsid w:val="00C53F71"/>
    <w:rsid w:val="00C54405"/>
    <w:rsid w:val="00C545BF"/>
    <w:rsid w:val="00C54616"/>
    <w:rsid w:val="00C550DB"/>
    <w:rsid w:val="00C557B1"/>
    <w:rsid w:val="00C56384"/>
    <w:rsid w:val="00C6029F"/>
    <w:rsid w:val="00C60388"/>
    <w:rsid w:val="00C61E53"/>
    <w:rsid w:val="00C63149"/>
    <w:rsid w:val="00C63170"/>
    <w:rsid w:val="00C63681"/>
    <w:rsid w:val="00C63B88"/>
    <w:rsid w:val="00C6443D"/>
    <w:rsid w:val="00C647CE"/>
    <w:rsid w:val="00C64B4B"/>
    <w:rsid w:val="00C6538C"/>
    <w:rsid w:val="00C66088"/>
    <w:rsid w:val="00C660B3"/>
    <w:rsid w:val="00C66740"/>
    <w:rsid w:val="00C66D96"/>
    <w:rsid w:val="00C70955"/>
    <w:rsid w:val="00C7117B"/>
    <w:rsid w:val="00C7144B"/>
    <w:rsid w:val="00C71CEA"/>
    <w:rsid w:val="00C720CF"/>
    <w:rsid w:val="00C726E3"/>
    <w:rsid w:val="00C72779"/>
    <w:rsid w:val="00C727F0"/>
    <w:rsid w:val="00C72869"/>
    <w:rsid w:val="00C72D85"/>
    <w:rsid w:val="00C72ECE"/>
    <w:rsid w:val="00C72FFC"/>
    <w:rsid w:val="00C73218"/>
    <w:rsid w:val="00C7492F"/>
    <w:rsid w:val="00C74999"/>
    <w:rsid w:val="00C74BB7"/>
    <w:rsid w:val="00C74D30"/>
    <w:rsid w:val="00C75694"/>
    <w:rsid w:val="00C76ADD"/>
    <w:rsid w:val="00C77067"/>
    <w:rsid w:val="00C77243"/>
    <w:rsid w:val="00C779A0"/>
    <w:rsid w:val="00C80480"/>
    <w:rsid w:val="00C81EF2"/>
    <w:rsid w:val="00C82B54"/>
    <w:rsid w:val="00C82B9F"/>
    <w:rsid w:val="00C83715"/>
    <w:rsid w:val="00C83C58"/>
    <w:rsid w:val="00C83D58"/>
    <w:rsid w:val="00C8534D"/>
    <w:rsid w:val="00C86067"/>
    <w:rsid w:val="00C86102"/>
    <w:rsid w:val="00C864B8"/>
    <w:rsid w:val="00C8669B"/>
    <w:rsid w:val="00C86C89"/>
    <w:rsid w:val="00C86D88"/>
    <w:rsid w:val="00C87155"/>
    <w:rsid w:val="00C8726D"/>
    <w:rsid w:val="00C87770"/>
    <w:rsid w:val="00C9070A"/>
    <w:rsid w:val="00C907FE"/>
    <w:rsid w:val="00C90B46"/>
    <w:rsid w:val="00C91955"/>
    <w:rsid w:val="00C91E31"/>
    <w:rsid w:val="00C923FA"/>
    <w:rsid w:val="00C92D37"/>
    <w:rsid w:val="00C93061"/>
    <w:rsid w:val="00C93346"/>
    <w:rsid w:val="00C933AC"/>
    <w:rsid w:val="00C9349F"/>
    <w:rsid w:val="00C940B8"/>
    <w:rsid w:val="00C942BA"/>
    <w:rsid w:val="00C946CC"/>
    <w:rsid w:val="00C9596D"/>
    <w:rsid w:val="00C9674E"/>
    <w:rsid w:val="00CA01A9"/>
    <w:rsid w:val="00CA11A3"/>
    <w:rsid w:val="00CA2192"/>
    <w:rsid w:val="00CA36C8"/>
    <w:rsid w:val="00CA3864"/>
    <w:rsid w:val="00CA3E4E"/>
    <w:rsid w:val="00CA4C75"/>
    <w:rsid w:val="00CA5AE8"/>
    <w:rsid w:val="00CA5E10"/>
    <w:rsid w:val="00CA639F"/>
    <w:rsid w:val="00CA63CB"/>
    <w:rsid w:val="00CA6D1E"/>
    <w:rsid w:val="00CA6F89"/>
    <w:rsid w:val="00CA7272"/>
    <w:rsid w:val="00CA7774"/>
    <w:rsid w:val="00CB00E5"/>
    <w:rsid w:val="00CB032A"/>
    <w:rsid w:val="00CB07CF"/>
    <w:rsid w:val="00CB208F"/>
    <w:rsid w:val="00CB2215"/>
    <w:rsid w:val="00CB27F3"/>
    <w:rsid w:val="00CB288A"/>
    <w:rsid w:val="00CB309B"/>
    <w:rsid w:val="00CB39C2"/>
    <w:rsid w:val="00CB3B19"/>
    <w:rsid w:val="00CB571B"/>
    <w:rsid w:val="00CB5A4E"/>
    <w:rsid w:val="00CB5AD8"/>
    <w:rsid w:val="00CC0A27"/>
    <w:rsid w:val="00CC0D1E"/>
    <w:rsid w:val="00CC1704"/>
    <w:rsid w:val="00CC24D4"/>
    <w:rsid w:val="00CC2DB8"/>
    <w:rsid w:val="00CC50AA"/>
    <w:rsid w:val="00CC53B3"/>
    <w:rsid w:val="00CC618B"/>
    <w:rsid w:val="00CC6843"/>
    <w:rsid w:val="00CC6897"/>
    <w:rsid w:val="00CC797A"/>
    <w:rsid w:val="00CD27B8"/>
    <w:rsid w:val="00CD3C39"/>
    <w:rsid w:val="00CD4094"/>
    <w:rsid w:val="00CD417C"/>
    <w:rsid w:val="00CD4A5F"/>
    <w:rsid w:val="00CD525A"/>
    <w:rsid w:val="00CD5DF2"/>
    <w:rsid w:val="00CD5EE8"/>
    <w:rsid w:val="00CD701D"/>
    <w:rsid w:val="00CD7306"/>
    <w:rsid w:val="00CD791D"/>
    <w:rsid w:val="00CD7ACF"/>
    <w:rsid w:val="00CD7F4C"/>
    <w:rsid w:val="00CE0506"/>
    <w:rsid w:val="00CE15D4"/>
    <w:rsid w:val="00CE1C84"/>
    <w:rsid w:val="00CE1FF2"/>
    <w:rsid w:val="00CE26AC"/>
    <w:rsid w:val="00CE2E2F"/>
    <w:rsid w:val="00CE3463"/>
    <w:rsid w:val="00CE4584"/>
    <w:rsid w:val="00CE4E6F"/>
    <w:rsid w:val="00CE5E68"/>
    <w:rsid w:val="00CE605E"/>
    <w:rsid w:val="00CE6406"/>
    <w:rsid w:val="00CE6490"/>
    <w:rsid w:val="00CE6595"/>
    <w:rsid w:val="00CE7721"/>
    <w:rsid w:val="00CE7909"/>
    <w:rsid w:val="00CF07FE"/>
    <w:rsid w:val="00CF0824"/>
    <w:rsid w:val="00CF0A35"/>
    <w:rsid w:val="00CF0B6A"/>
    <w:rsid w:val="00CF1732"/>
    <w:rsid w:val="00CF1D66"/>
    <w:rsid w:val="00CF2974"/>
    <w:rsid w:val="00CF2D89"/>
    <w:rsid w:val="00CF392D"/>
    <w:rsid w:val="00CF3B07"/>
    <w:rsid w:val="00CF45F0"/>
    <w:rsid w:val="00CF4656"/>
    <w:rsid w:val="00CF4F92"/>
    <w:rsid w:val="00CF4FED"/>
    <w:rsid w:val="00CF5032"/>
    <w:rsid w:val="00CF50BD"/>
    <w:rsid w:val="00CF560E"/>
    <w:rsid w:val="00CF5B61"/>
    <w:rsid w:val="00CF62EA"/>
    <w:rsid w:val="00CF6E64"/>
    <w:rsid w:val="00CF6F74"/>
    <w:rsid w:val="00CF77F9"/>
    <w:rsid w:val="00D00AB6"/>
    <w:rsid w:val="00D00FAC"/>
    <w:rsid w:val="00D00FBD"/>
    <w:rsid w:val="00D0151B"/>
    <w:rsid w:val="00D01F0B"/>
    <w:rsid w:val="00D0202D"/>
    <w:rsid w:val="00D02101"/>
    <w:rsid w:val="00D024BA"/>
    <w:rsid w:val="00D02781"/>
    <w:rsid w:val="00D02E40"/>
    <w:rsid w:val="00D032E0"/>
    <w:rsid w:val="00D042D0"/>
    <w:rsid w:val="00D04347"/>
    <w:rsid w:val="00D0451F"/>
    <w:rsid w:val="00D049A6"/>
    <w:rsid w:val="00D053A5"/>
    <w:rsid w:val="00D0552B"/>
    <w:rsid w:val="00D05668"/>
    <w:rsid w:val="00D05890"/>
    <w:rsid w:val="00D05AAE"/>
    <w:rsid w:val="00D061DB"/>
    <w:rsid w:val="00D0667B"/>
    <w:rsid w:val="00D069F7"/>
    <w:rsid w:val="00D06F26"/>
    <w:rsid w:val="00D0719D"/>
    <w:rsid w:val="00D07272"/>
    <w:rsid w:val="00D0753D"/>
    <w:rsid w:val="00D1180B"/>
    <w:rsid w:val="00D11A98"/>
    <w:rsid w:val="00D11F31"/>
    <w:rsid w:val="00D121B1"/>
    <w:rsid w:val="00D1268C"/>
    <w:rsid w:val="00D12796"/>
    <w:rsid w:val="00D12E22"/>
    <w:rsid w:val="00D12EA4"/>
    <w:rsid w:val="00D13BD6"/>
    <w:rsid w:val="00D142B7"/>
    <w:rsid w:val="00D14452"/>
    <w:rsid w:val="00D14D92"/>
    <w:rsid w:val="00D1500A"/>
    <w:rsid w:val="00D151D0"/>
    <w:rsid w:val="00D15892"/>
    <w:rsid w:val="00D15F3C"/>
    <w:rsid w:val="00D16451"/>
    <w:rsid w:val="00D1697D"/>
    <w:rsid w:val="00D17012"/>
    <w:rsid w:val="00D17B9B"/>
    <w:rsid w:val="00D17D91"/>
    <w:rsid w:val="00D20087"/>
    <w:rsid w:val="00D200B8"/>
    <w:rsid w:val="00D206D1"/>
    <w:rsid w:val="00D209AD"/>
    <w:rsid w:val="00D20F51"/>
    <w:rsid w:val="00D21811"/>
    <w:rsid w:val="00D21AAB"/>
    <w:rsid w:val="00D221BA"/>
    <w:rsid w:val="00D22877"/>
    <w:rsid w:val="00D23188"/>
    <w:rsid w:val="00D23340"/>
    <w:rsid w:val="00D24B71"/>
    <w:rsid w:val="00D257DE"/>
    <w:rsid w:val="00D26802"/>
    <w:rsid w:val="00D26EF9"/>
    <w:rsid w:val="00D27196"/>
    <w:rsid w:val="00D30047"/>
    <w:rsid w:val="00D30494"/>
    <w:rsid w:val="00D304BE"/>
    <w:rsid w:val="00D305C8"/>
    <w:rsid w:val="00D316FC"/>
    <w:rsid w:val="00D324FF"/>
    <w:rsid w:val="00D32A86"/>
    <w:rsid w:val="00D33745"/>
    <w:rsid w:val="00D338EC"/>
    <w:rsid w:val="00D33EDA"/>
    <w:rsid w:val="00D3440F"/>
    <w:rsid w:val="00D3675B"/>
    <w:rsid w:val="00D367DB"/>
    <w:rsid w:val="00D40F10"/>
    <w:rsid w:val="00D42A8E"/>
    <w:rsid w:val="00D42DCE"/>
    <w:rsid w:val="00D432C2"/>
    <w:rsid w:val="00D433E6"/>
    <w:rsid w:val="00D43743"/>
    <w:rsid w:val="00D43C86"/>
    <w:rsid w:val="00D43E1E"/>
    <w:rsid w:val="00D43F79"/>
    <w:rsid w:val="00D44412"/>
    <w:rsid w:val="00D44520"/>
    <w:rsid w:val="00D44EF7"/>
    <w:rsid w:val="00D464D3"/>
    <w:rsid w:val="00D464DF"/>
    <w:rsid w:val="00D474B4"/>
    <w:rsid w:val="00D474C7"/>
    <w:rsid w:val="00D479D2"/>
    <w:rsid w:val="00D50625"/>
    <w:rsid w:val="00D508F0"/>
    <w:rsid w:val="00D50B73"/>
    <w:rsid w:val="00D50B7B"/>
    <w:rsid w:val="00D50F82"/>
    <w:rsid w:val="00D5104F"/>
    <w:rsid w:val="00D51077"/>
    <w:rsid w:val="00D5207A"/>
    <w:rsid w:val="00D524F4"/>
    <w:rsid w:val="00D52798"/>
    <w:rsid w:val="00D533F5"/>
    <w:rsid w:val="00D55455"/>
    <w:rsid w:val="00D55778"/>
    <w:rsid w:val="00D5613C"/>
    <w:rsid w:val="00D56206"/>
    <w:rsid w:val="00D56989"/>
    <w:rsid w:val="00D56C55"/>
    <w:rsid w:val="00D56E5C"/>
    <w:rsid w:val="00D5786C"/>
    <w:rsid w:val="00D57ADF"/>
    <w:rsid w:val="00D57D73"/>
    <w:rsid w:val="00D57FFD"/>
    <w:rsid w:val="00D610E2"/>
    <w:rsid w:val="00D6117D"/>
    <w:rsid w:val="00D61481"/>
    <w:rsid w:val="00D61F57"/>
    <w:rsid w:val="00D62C4D"/>
    <w:rsid w:val="00D62CB2"/>
    <w:rsid w:val="00D62D16"/>
    <w:rsid w:val="00D62F6F"/>
    <w:rsid w:val="00D62FF8"/>
    <w:rsid w:val="00D63F60"/>
    <w:rsid w:val="00D64D29"/>
    <w:rsid w:val="00D650F5"/>
    <w:rsid w:val="00D65B45"/>
    <w:rsid w:val="00D65BA9"/>
    <w:rsid w:val="00D6720F"/>
    <w:rsid w:val="00D70DA1"/>
    <w:rsid w:val="00D710BB"/>
    <w:rsid w:val="00D716DB"/>
    <w:rsid w:val="00D71C47"/>
    <w:rsid w:val="00D72199"/>
    <w:rsid w:val="00D721D5"/>
    <w:rsid w:val="00D73042"/>
    <w:rsid w:val="00D7314E"/>
    <w:rsid w:val="00D73B33"/>
    <w:rsid w:val="00D7448F"/>
    <w:rsid w:val="00D7476C"/>
    <w:rsid w:val="00D747ED"/>
    <w:rsid w:val="00D74D7C"/>
    <w:rsid w:val="00D75790"/>
    <w:rsid w:val="00D75FD9"/>
    <w:rsid w:val="00D763FF"/>
    <w:rsid w:val="00D772ED"/>
    <w:rsid w:val="00D778C8"/>
    <w:rsid w:val="00D77B56"/>
    <w:rsid w:val="00D80C93"/>
    <w:rsid w:val="00D81D9F"/>
    <w:rsid w:val="00D81FD4"/>
    <w:rsid w:val="00D82417"/>
    <w:rsid w:val="00D83095"/>
    <w:rsid w:val="00D83352"/>
    <w:rsid w:val="00D83399"/>
    <w:rsid w:val="00D8359E"/>
    <w:rsid w:val="00D841E3"/>
    <w:rsid w:val="00D843B4"/>
    <w:rsid w:val="00D84FB3"/>
    <w:rsid w:val="00D853A6"/>
    <w:rsid w:val="00D85F96"/>
    <w:rsid w:val="00D8636C"/>
    <w:rsid w:val="00D86F80"/>
    <w:rsid w:val="00D871F8"/>
    <w:rsid w:val="00D875FA"/>
    <w:rsid w:val="00D87D8F"/>
    <w:rsid w:val="00D87DCA"/>
    <w:rsid w:val="00D90033"/>
    <w:rsid w:val="00D901A0"/>
    <w:rsid w:val="00D9042B"/>
    <w:rsid w:val="00D90909"/>
    <w:rsid w:val="00D90A6D"/>
    <w:rsid w:val="00D90E6C"/>
    <w:rsid w:val="00D90FDB"/>
    <w:rsid w:val="00D91DCD"/>
    <w:rsid w:val="00D9230C"/>
    <w:rsid w:val="00D9234B"/>
    <w:rsid w:val="00D929A3"/>
    <w:rsid w:val="00D92F56"/>
    <w:rsid w:val="00D93AF2"/>
    <w:rsid w:val="00D94300"/>
    <w:rsid w:val="00D94B2A"/>
    <w:rsid w:val="00D94F0E"/>
    <w:rsid w:val="00D95686"/>
    <w:rsid w:val="00D95A02"/>
    <w:rsid w:val="00D95BEC"/>
    <w:rsid w:val="00D963CB"/>
    <w:rsid w:val="00D968EF"/>
    <w:rsid w:val="00D969FE"/>
    <w:rsid w:val="00D96FFF"/>
    <w:rsid w:val="00D97402"/>
    <w:rsid w:val="00DA01CE"/>
    <w:rsid w:val="00DA0594"/>
    <w:rsid w:val="00DA059D"/>
    <w:rsid w:val="00DA12C8"/>
    <w:rsid w:val="00DA149B"/>
    <w:rsid w:val="00DA1BEE"/>
    <w:rsid w:val="00DA1C0B"/>
    <w:rsid w:val="00DA1C81"/>
    <w:rsid w:val="00DA1EE4"/>
    <w:rsid w:val="00DA46CE"/>
    <w:rsid w:val="00DA4C99"/>
    <w:rsid w:val="00DA4D62"/>
    <w:rsid w:val="00DA5AED"/>
    <w:rsid w:val="00DA6255"/>
    <w:rsid w:val="00DA736F"/>
    <w:rsid w:val="00DA737C"/>
    <w:rsid w:val="00DA75F1"/>
    <w:rsid w:val="00DB01A1"/>
    <w:rsid w:val="00DB055E"/>
    <w:rsid w:val="00DB2015"/>
    <w:rsid w:val="00DB24FE"/>
    <w:rsid w:val="00DB28F0"/>
    <w:rsid w:val="00DB290A"/>
    <w:rsid w:val="00DB2911"/>
    <w:rsid w:val="00DB2C43"/>
    <w:rsid w:val="00DB3248"/>
    <w:rsid w:val="00DB3E8B"/>
    <w:rsid w:val="00DB4125"/>
    <w:rsid w:val="00DB4187"/>
    <w:rsid w:val="00DB451A"/>
    <w:rsid w:val="00DB5750"/>
    <w:rsid w:val="00DB5863"/>
    <w:rsid w:val="00DB597B"/>
    <w:rsid w:val="00DB5A90"/>
    <w:rsid w:val="00DB5B39"/>
    <w:rsid w:val="00DB656C"/>
    <w:rsid w:val="00DB7127"/>
    <w:rsid w:val="00DB7A5F"/>
    <w:rsid w:val="00DB7CD6"/>
    <w:rsid w:val="00DB7E33"/>
    <w:rsid w:val="00DC04E3"/>
    <w:rsid w:val="00DC163C"/>
    <w:rsid w:val="00DC173C"/>
    <w:rsid w:val="00DC1804"/>
    <w:rsid w:val="00DC239D"/>
    <w:rsid w:val="00DC2ADE"/>
    <w:rsid w:val="00DC2FC4"/>
    <w:rsid w:val="00DC4257"/>
    <w:rsid w:val="00DC4279"/>
    <w:rsid w:val="00DC4FEE"/>
    <w:rsid w:val="00DC5742"/>
    <w:rsid w:val="00DC5860"/>
    <w:rsid w:val="00DC6CB7"/>
    <w:rsid w:val="00DC72D7"/>
    <w:rsid w:val="00DC7BF7"/>
    <w:rsid w:val="00DC7D45"/>
    <w:rsid w:val="00DD0354"/>
    <w:rsid w:val="00DD05CF"/>
    <w:rsid w:val="00DD0CB8"/>
    <w:rsid w:val="00DD1CC2"/>
    <w:rsid w:val="00DD2163"/>
    <w:rsid w:val="00DD235A"/>
    <w:rsid w:val="00DD2D9A"/>
    <w:rsid w:val="00DD3893"/>
    <w:rsid w:val="00DD4003"/>
    <w:rsid w:val="00DD423B"/>
    <w:rsid w:val="00DD4A6E"/>
    <w:rsid w:val="00DD4E1F"/>
    <w:rsid w:val="00DD5137"/>
    <w:rsid w:val="00DD5672"/>
    <w:rsid w:val="00DD665F"/>
    <w:rsid w:val="00DD7AFC"/>
    <w:rsid w:val="00DE0888"/>
    <w:rsid w:val="00DE0D69"/>
    <w:rsid w:val="00DE0DB6"/>
    <w:rsid w:val="00DE14AD"/>
    <w:rsid w:val="00DE1591"/>
    <w:rsid w:val="00DE163E"/>
    <w:rsid w:val="00DE16C8"/>
    <w:rsid w:val="00DE2099"/>
    <w:rsid w:val="00DE2F8A"/>
    <w:rsid w:val="00DE5346"/>
    <w:rsid w:val="00DE55F5"/>
    <w:rsid w:val="00DE5FB4"/>
    <w:rsid w:val="00DE733E"/>
    <w:rsid w:val="00DF0210"/>
    <w:rsid w:val="00DF033C"/>
    <w:rsid w:val="00DF0660"/>
    <w:rsid w:val="00DF08DD"/>
    <w:rsid w:val="00DF10EA"/>
    <w:rsid w:val="00DF129E"/>
    <w:rsid w:val="00DF196B"/>
    <w:rsid w:val="00DF4202"/>
    <w:rsid w:val="00DF4622"/>
    <w:rsid w:val="00DF510E"/>
    <w:rsid w:val="00DF5130"/>
    <w:rsid w:val="00DF54A6"/>
    <w:rsid w:val="00DF57EA"/>
    <w:rsid w:val="00DF59D2"/>
    <w:rsid w:val="00DF5E1D"/>
    <w:rsid w:val="00DF65B4"/>
    <w:rsid w:val="00DF6E0C"/>
    <w:rsid w:val="00DF6F01"/>
    <w:rsid w:val="00DF7CE4"/>
    <w:rsid w:val="00E00BB8"/>
    <w:rsid w:val="00E01971"/>
    <w:rsid w:val="00E01D5D"/>
    <w:rsid w:val="00E01ECE"/>
    <w:rsid w:val="00E02279"/>
    <w:rsid w:val="00E02B18"/>
    <w:rsid w:val="00E03B10"/>
    <w:rsid w:val="00E03E47"/>
    <w:rsid w:val="00E047B6"/>
    <w:rsid w:val="00E04F8E"/>
    <w:rsid w:val="00E05322"/>
    <w:rsid w:val="00E055DC"/>
    <w:rsid w:val="00E06834"/>
    <w:rsid w:val="00E07F5B"/>
    <w:rsid w:val="00E105D8"/>
    <w:rsid w:val="00E10D30"/>
    <w:rsid w:val="00E1113E"/>
    <w:rsid w:val="00E11892"/>
    <w:rsid w:val="00E11C89"/>
    <w:rsid w:val="00E12322"/>
    <w:rsid w:val="00E1232F"/>
    <w:rsid w:val="00E12ABC"/>
    <w:rsid w:val="00E12FF2"/>
    <w:rsid w:val="00E13D81"/>
    <w:rsid w:val="00E14116"/>
    <w:rsid w:val="00E145F5"/>
    <w:rsid w:val="00E148C7"/>
    <w:rsid w:val="00E15D2C"/>
    <w:rsid w:val="00E16B0A"/>
    <w:rsid w:val="00E1725A"/>
    <w:rsid w:val="00E177E4"/>
    <w:rsid w:val="00E17E65"/>
    <w:rsid w:val="00E17FB7"/>
    <w:rsid w:val="00E20260"/>
    <w:rsid w:val="00E21CCC"/>
    <w:rsid w:val="00E2234E"/>
    <w:rsid w:val="00E229F9"/>
    <w:rsid w:val="00E22BAD"/>
    <w:rsid w:val="00E22BC8"/>
    <w:rsid w:val="00E236A7"/>
    <w:rsid w:val="00E23770"/>
    <w:rsid w:val="00E238C6"/>
    <w:rsid w:val="00E23A91"/>
    <w:rsid w:val="00E23C24"/>
    <w:rsid w:val="00E24313"/>
    <w:rsid w:val="00E2447B"/>
    <w:rsid w:val="00E2458D"/>
    <w:rsid w:val="00E24B2E"/>
    <w:rsid w:val="00E26C4E"/>
    <w:rsid w:val="00E26F82"/>
    <w:rsid w:val="00E27855"/>
    <w:rsid w:val="00E27CEA"/>
    <w:rsid w:val="00E306A4"/>
    <w:rsid w:val="00E30A70"/>
    <w:rsid w:val="00E32753"/>
    <w:rsid w:val="00E32C33"/>
    <w:rsid w:val="00E33381"/>
    <w:rsid w:val="00E3448E"/>
    <w:rsid w:val="00E35522"/>
    <w:rsid w:val="00E35D58"/>
    <w:rsid w:val="00E36CB0"/>
    <w:rsid w:val="00E376AB"/>
    <w:rsid w:val="00E37A77"/>
    <w:rsid w:val="00E40E46"/>
    <w:rsid w:val="00E4180F"/>
    <w:rsid w:val="00E424D3"/>
    <w:rsid w:val="00E44882"/>
    <w:rsid w:val="00E4541F"/>
    <w:rsid w:val="00E45EC8"/>
    <w:rsid w:val="00E45EE8"/>
    <w:rsid w:val="00E465E2"/>
    <w:rsid w:val="00E47E87"/>
    <w:rsid w:val="00E5085B"/>
    <w:rsid w:val="00E50929"/>
    <w:rsid w:val="00E51206"/>
    <w:rsid w:val="00E51995"/>
    <w:rsid w:val="00E5216D"/>
    <w:rsid w:val="00E52173"/>
    <w:rsid w:val="00E52780"/>
    <w:rsid w:val="00E52FA4"/>
    <w:rsid w:val="00E53292"/>
    <w:rsid w:val="00E540D2"/>
    <w:rsid w:val="00E5455E"/>
    <w:rsid w:val="00E5557F"/>
    <w:rsid w:val="00E55A81"/>
    <w:rsid w:val="00E55EC1"/>
    <w:rsid w:val="00E560D8"/>
    <w:rsid w:val="00E560DA"/>
    <w:rsid w:val="00E567A3"/>
    <w:rsid w:val="00E5683B"/>
    <w:rsid w:val="00E570F8"/>
    <w:rsid w:val="00E572B4"/>
    <w:rsid w:val="00E57C6F"/>
    <w:rsid w:val="00E57FF9"/>
    <w:rsid w:val="00E60AD4"/>
    <w:rsid w:val="00E61E74"/>
    <w:rsid w:val="00E61EBB"/>
    <w:rsid w:val="00E62321"/>
    <w:rsid w:val="00E62BD8"/>
    <w:rsid w:val="00E62C3B"/>
    <w:rsid w:val="00E63900"/>
    <w:rsid w:val="00E646A3"/>
    <w:rsid w:val="00E65F50"/>
    <w:rsid w:val="00E66B3E"/>
    <w:rsid w:val="00E67B12"/>
    <w:rsid w:val="00E67B3E"/>
    <w:rsid w:val="00E70639"/>
    <w:rsid w:val="00E70B0A"/>
    <w:rsid w:val="00E70CD0"/>
    <w:rsid w:val="00E712A7"/>
    <w:rsid w:val="00E71594"/>
    <w:rsid w:val="00E71FEA"/>
    <w:rsid w:val="00E72148"/>
    <w:rsid w:val="00E729EE"/>
    <w:rsid w:val="00E73E8B"/>
    <w:rsid w:val="00E742E2"/>
    <w:rsid w:val="00E74363"/>
    <w:rsid w:val="00E746D9"/>
    <w:rsid w:val="00E74B4C"/>
    <w:rsid w:val="00E74CDF"/>
    <w:rsid w:val="00E74F88"/>
    <w:rsid w:val="00E74FEB"/>
    <w:rsid w:val="00E7540D"/>
    <w:rsid w:val="00E76560"/>
    <w:rsid w:val="00E80333"/>
    <w:rsid w:val="00E814E5"/>
    <w:rsid w:val="00E81A1C"/>
    <w:rsid w:val="00E824DB"/>
    <w:rsid w:val="00E82AC0"/>
    <w:rsid w:val="00E834DE"/>
    <w:rsid w:val="00E8381A"/>
    <w:rsid w:val="00E83BE7"/>
    <w:rsid w:val="00E84292"/>
    <w:rsid w:val="00E85C2F"/>
    <w:rsid w:val="00E85FC4"/>
    <w:rsid w:val="00E86637"/>
    <w:rsid w:val="00E87972"/>
    <w:rsid w:val="00E87980"/>
    <w:rsid w:val="00E87984"/>
    <w:rsid w:val="00E87DF8"/>
    <w:rsid w:val="00E901C7"/>
    <w:rsid w:val="00E90BA8"/>
    <w:rsid w:val="00E91FA1"/>
    <w:rsid w:val="00E92689"/>
    <w:rsid w:val="00E926D4"/>
    <w:rsid w:val="00E93D2B"/>
    <w:rsid w:val="00E9407B"/>
    <w:rsid w:val="00E9411D"/>
    <w:rsid w:val="00E94306"/>
    <w:rsid w:val="00E976E9"/>
    <w:rsid w:val="00E97D01"/>
    <w:rsid w:val="00EA0463"/>
    <w:rsid w:val="00EA08DC"/>
    <w:rsid w:val="00EA0A7E"/>
    <w:rsid w:val="00EA14A2"/>
    <w:rsid w:val="00EA2CAE"/>
    <w:rsid w:val="00EA3212"/>
    <w:rsid w:val="00EA3B34"/>
    <w:rsid w:val="00EA4DAA"/>
    <w:rsid w:val="00EA56F1"/>
    <w:rsid w:val="00EA5DAA"/>
    <w:rsid w:val="00EA6B52"/>
    <w:rsid w:val="00EA7273"/>
    <w:rsid w:val="00EA7B8D"/>
    <w:rsid w:val="00EA7FD7"/>
    <w:rsid w:val="00EB05F9"/>
    <w:rsid w:val="00EB14C6"/>
    <w:rsid w:val="00EB17E4"/>
    <w:rsid w:val="00EB21CF"/>
    <w:rsid w:val="00EB220C"/>
    <w:rsid w:val="00EB24E0"/>
    <w:rsid w:val="00EB3A1A"/>
    <w:rsid w:val="00EB3AD7"/>
    <w:rsid w:val="00EB4B70"/>
    <w:rsid w:val="00EB4F37"/>
    <w:rsid w:val="00EB510F"/>
    <w:rsid w:val="00EB516A"/>
    <w:rsid w:val="00EB520F"/>
    <w:rsid w:val="00EB6E9C"/>
    <w:rsid w:val="00EB6EE9"/>
    <w:rsid w:val="00EB732F"/>
    <w:rsid w:val="00EB7C67"/>
    <w:rsid w:val="00EC0A59"/>
    <w:rsid w:val="00EC0DD1"/>
    <w:rsid w:val="00EC15C4"/>
    <w:rsid w:val="00EC1845"/>
    <w:rsid w:val="00EC19B4"/>
    <w:rsid w:val="00EC1D78"/>
    <w:rsid w:val="00EC2640"/>
    <w:rsid w:val="00EC27A5"/>
    <w:rsid w:val="00EC2ADD"/>
    <w:rsid w:val="00EC3154"/>
    <w:rsid w:val="00EC35A5"/>
    <w:rsid w:val="00EC3A8A"/>
    <w:rsid w:val="00EC4CF1"/>
    <w:rsid w:val="00EC63ED"/>
    <w:rsid w:val="00EC6A38"/>
    <w:rsid w:val="00EC76A2"/>
    <w:rsid w:val="00ED11BD"/>
    <w:rsid w:val="00ED1391"/>
    <w:rsid w:val="00ED1F49"/>
    <w:rsid w:val="00ED21F7"/>
    <w:rsid w:val="00ED2F23"/>
    <w:rsid w:val="00ED3664"/>
    <w:rsid w:val="00ED3924"/>
    <w:rsid w:val="00ED3C22"/>
    <w:rsid w:val="00ED545E"/>
    <w:rsid w:val="00ED67CE"/>
    <w:rsid w:val="00ED6FB4"/>
    <w:rsid w:val="00ED718F"/>
    <w:rsid w:val="00ED7223"/>
    <w:rsid w:val="00ED7A3C"/>
    <w:rsid w:val="00EE085C"/>
    <w:rsid w:val="00EE0BD1"/>
    <w:rsid w:val="00EE18B8"/>
    <w:rsid w:val="00EE25BB"/>
    <w:rsid w:val="00EE2A45"/>
    <w:rsid w:val="00EE2EDE"/>
    <w:rsid w:val="00EE3135"/>
    <w:rsid w:val="00EE3996"/>
    <w:rsid w:val="00EE39DC"/>
    <w:rsid w:val="00EE3A14"/>
    <w:rsid w:val="00EE4EE1"/>
    <w:rsid w:val="00EE4FC2"/>
    <w:rsid w:val="00EE5A05"/>
    <w:rsid w:val="00EE6F68"/>
    <w:rsid w:val="00EE7D3C"/>
    <w:rsid w:val="00EF0066"/>
    <w:rsid w:val="00EF01C6"/>
    <w:rsid w:val="00EF0AD8"/>
    <w:rsid w:val="00EF0E46"/>
    <w:rsid w:val="00EF1AB7"/>
    <w:rsid w:val="00EF3241"/>
    <w:rsid w:val="00EF5661"/>
    <w:rsid w:val="00EF6394"/>
    <w:rsid w:val="00EF68C6"/>
    <w:rsid w:val="00EF70E5"/>
    <w:rsid w:val="00EF716A"/>
    <w:rsid w:val="00EF7ACA"/>
    <w:rsid w:val="00EF7B48"/>
    <w:rsid w:val="00EF7CA7"/>
    <w:rsid w:val="00F00137"/>
    <w:rsid w:val="00F0038C"/>
    <w:rsid w:val="00F00B17"/>
    <w:rsid w:val="00F0131D"/>
    <w:rsid w:val="00F013D1"/>
    <w:rsid w:val="00F0180B"/>
    <w:rsid w:val="00F01FDC"/>
    <w:rsid w:val="00F022C8"/>
    <w:rsid w:val="00F02CDD"/>
    <w:rsid w:val="00F02F59"/>
    <w:rsid w:val="00F03DEF"/>
    <w:rsid w:val="00F04543"/>
    <w:rsid w:val="00F04EAD"/>
    <w:rsid w:val="00F053C6"/>
    <w:rsid w:val="00F05A76"/>
    <w:rsid w:val="00F05E71"/>
    <w:rsid w:val="00F07880"/>
    <w:rsid w:val="00F10581"/>
    <w:rsid w:val="00F1083F"/>
    <w:rsid w:val="00F123DE"/>
    <w:rsid w:val="00F12F85"/>
    <w:rsid w:val="00F133D5"/>
    <w:rsid w:val="00F145B0"/>
    <w:rsid w:val="00F14629"/>
    <w:rsid w:val="00F14750"/>
    <w:rsid w:val="00F14EBB"/>
    <w:rsid w:val="00F1529C"/>
    <w:rsid w:val="00F15A11"/>
    <w:rsid w:val="00F16220"/>
    <w:rsid w:val="00F164A3"/>
    <w:rsid w:val="00F16A38"/>
    <w:rsid w:val="00F20418"/>
    <w:rsid w:val="00F211E7"/>
    <w:rsid w:val="00F21D20"/>
    <w:rsid w:val="00F22279"/>
    <w:rsid w:val="00F2257B"/>
    <w:rsid w:val="00F2319F"/>
    <w:rsid w:val="00F24728"/>
    <w:rsid w:val="00F255B1"/>
    <w:rsid w:val="00F25605"/>
    <w:rsid w:val="00F25BCD"/>
    <w:rsid w:val="00F26471"/>
    <w:rsid w:val="00F2692C"/>
    <w:rsid w:val="00F26DBE"/>
    <w:rsid w:val="00F2743C"/>
    <w:rsid w:val="00F27B55"/>
    <w:rsid w:val="00F31489"/>
    <w:rsid w:val="00F32A1E"/>
    <w:rsid w:val="00F32D8E"/>
    <w:rsid w:val="00F33BB6"/>
    <w:rsid w:val="00F34142"/>
    <w:rsid w:val="00F34351"/>
    <w:rsid w:val="00F3542D"/>
    <w:rsid w:val="00F361F0"/>
    <w:rsid w:val="00F36EF3"/>
    <w:rsid w:val="00F36F8B"/>
    <w:rsid w:val="00F377E1"/>
    <w:rsid w:val="00F4247E"/>
    <w:rsid w:val="00F429CC"/>
    <w:rsid w:val="00F42D8B"/>
    <w:rsid w:val="00F43250"/>
    <w:rsid w:val="00F432C9"/>
    <w:rsid w:val="00F438B4"/>
    <w:rsid w:val="00F43B8E"/>
    <w:rsid w:val="00F43CDF"/>
    <w:rsid w:val="00F442B2"/>
    <w:rsid w:val="00F443BC"/>
    <w:rsid w:val="00F444A8"/>
    <w:rsid w:val="00F44C56"/>
    <w:rsid w:val="00F45FAA"/>
    <w:rsid w:val="00F469CA"/>
    <w:rsid w:val="00F46AC9"/>
    <w:rsid w:val="00F47188"/>
    <w:rsid w:val="00F47356"/>
    <w:rsid w:val="00F47460"/>
    <w:rsid w:val="00F47587"/>
    <w:rsid w:val="00F4797B"/>
    <w:rsid w:val="00F50508"/>
    <w:rsid w:val="00F50F76"/>
    <w:rsid w:val="00F53075"/>
    <w:rsid w:val="00F530E1"/>
    <w:rsid w:val="00F5419E"/>
    <w:rsid w:val="00F54F08"/>
    <w:rsid w:val="00F5540C"/>
    <w:rsid w:val="00F56BB8"/>
    <w:rsid w:val="00F56D67"/>
    <w:rsid w:val="00F5783A"/>
    <w:rsid w:val="00F57CAA"/>
    <w:rsid w:val="00F57CE2"/>
    <w:rsid w:val="00F60E81"/>
    <w:rsid w:val="00F60EE2"/>
    <w:rsid w:val="00F620E4"/>
    <w:rsid w:val="00F6254C"/>
    <w:rsid w:val="00F6272E"/>
    <w:rsid w:val="00F633A2"/>
    <w:rsid w:val="00F633B5"/>
    <w:rsid w:val="00F64736"/>
    <w:rsid w:val="00F64830"/>
    <w:rsid w:val="00F65A5D"/>
    <w:rsid w:val="00F65A9C"/>
    <w:rsid w:val="00F65CD5"/>
    <w:rsid w:val="00F66305"/>
    <w:rsid w:val="00F663BC"/>
    <w:rsid w:val="00F663C9"/>
    <w:rsid w:val="00F66B79"/>
    <w:rsid w:val="00F66D08"/>
    <w:rsid w:val="00F67AF0"/>
    <w:rsid w:val="00F708CA"/>
    <w:rsid w:val="00F70BC9"/>
    <w:rsid w:val="00F716A0"/>
    <w:rsid w:val="00F7248B"/>
    <w:rsid w:val="00F72D63"/>
    <w:rsid w:val="00F73AC5"/>
    <w:rsid w:val="00F757A0"/>
    <w:rsid w:val="00F75F9E"/>
    <w:rsid w:val="00F76471"/>
    <w:rsid w:val="00F770FF"/>
    <w:rsid w:val="00F77762"/>
    <w:rsid w:val="00F77B63"/>
    <w:rsid w:val="00F80A00"/>
    <w:rsid w:val="00F80A8C"/>
    <w:rsid w:val="00F81939"/>
    <w:rsid w:val="00F81BD0"/>
    <w:rsid w:val="00F81E1B"/>
    <w:rsid w:val="00F84FE7"/>
    <w:rsid w:val="00F85436"/>
    <w:rsid w:val="00F85975"/>
    <w:rsid w:val="00F8615A"/>
    <w:rsid w:val="00F86980"/>
    <w:rsid w:val="00F86DB9"/>
    <w:rsid w:val="00F87405"/>
    <w:rsid w:val="00F876E1"/>
    <w:rsid w:val="00F927D4"/>
    <w:rsid w:val="00F92CA5"/>
    <w:rsid w:val="00F939E7"/>
    <w:rsid w:val="00F93C5A"/>
    <w:rsid w:val="00F945E3"/>
    <w:rsid w:val="00F951C8"/>
    <w:rsid w:val="00F95753"/>
    <w:rsid w:val="00F95D46"/>
    <w:rsid w:val="00F96425"/>
    <w:rsid w:val="00F97C14"/>
    <w:rsid w:val="00FA0837"/>
    <w:rsid w:val="00FA099B"/>
    <w:rsid w:val="00FA0C03"/>
    <w:rsid w:val="00FA139B"/>
    <w:rsid w:val="00FA21DC"/>
    <w:rsid w:val="00FA2300"/>
    <w:rsid w:val="00FA25BD"/>
    <w:rsid w:val="00FA2A57"/>
    <w:rsid w:val="00FA2C04"/>
    <w:rsid w:val="00FA2CCF"/>
    <w:rsid w:val="00FA2E00"/>
    <w:rsid w:val="00FA3161"/>
    <w:rsid w:val="00FA3562"/>
    <w:rsid w:val="00FA41A8"/>
    <w:rsid w:val="00FA4D51"/>
    <w:rsid w:val="00FA537F"/>
    <w:rsid w:val="00FA57C0"/>
    <w:rsid w:val="00FA5CBF"/>
    <w:rsid w:val="00FA6185"/>
    <w:rsid w:val="00FA64BC"/>
    <w:rsid w:val="00FA71DF"/>
    <w:rsid w:val="00FA7C96"/>
    <w:rsid w:val="00FB000A"/>
    <w:rsid w:val="00FB0168"/>
    <w:rsid w:val="00FB03E3"/>
    <w:rsid w:val="00FB04CF"/>
    <w:rsid w:val="00FB05B8"/>
    <w:rsid w:val="00FB0DC0"/>
    <w:rsid w:val="00FB0DCE"/>
    <w:rsid w:val="00FB13DC"/>
    <w:rsid w:val="00FB2543"/>
    <w:rsid w:val="00FB2988"/>
    <w:rsid w:val="00FB2F9C"/>
    <w:rsid w:val="00FB3652"/>
    <w:rsid w:val="00FB36C8"/>
    <w:rsid w:val="00FB4A69"/>
    <w:rsid w:val="00FB4C47"/>
    <w:rsid w:val="00FB4E60"/>
    <w:rsid w:val="00FB5840"/>
    <w:rsid w:val="00FB6452"/>
    <w:rsid w:val="00FB6613"/>
    <w:rsid w:val="00FB753D"/>
    <w:rsid w:val="00FB789E"/>
    <w:rsid w:val="00FB78DD"/>
    <w:rsid w:val="00FC02E3"/>
    <w:rsid w:val="00FC0302"/>
    <w:rsid w:val="00FC0D5F"/>
    <w:rsid w:val="00FC0D87"/>
    <w:rsid w:val="00FC13BC"/>
    <w:rsid w:val="00FC1B22"/>
    <w:rsid w:val="00FC288D"/>
    <w:rsid w:val="00FC2922"/>
    <w:rsid w:val="00FC2D76"/>
    <w:rsid w:val="00FC36DD"/>
    <w:rsid w:val="00FC3970"/>
    <w:rsid w:val="00FC42FE"/>
    <w:rsid w:val="00FC4514"/>
    <w:rsid w:val="00FC47EC"/>
    <w:rsid w:val="00FC53CF"/>
    <w:rsid w:val="00FC59B8"/>
    <w:rsid w:val="00FC5E81"/>
    <w:rsid w:val="00FC63A0"/>
    <w:rsid w:val="00FC67A6"/>
    <w:rsid w:val="00FC6860"/>
    <w:rsid w:val="00FC6F02"/>
    <w:rsid w:val="00FC72A5"/>
    <w:rsid w:val="00FC7329"/>
    <w:rsid w:val="00FD0567"/>
    <w:rsid w:val="00FD08CF"/>
    <w:rsid w:val="00FD0D38"/>
    <w:rsid w:val="00FD119C"/>
    <w:rsid w:val="00FD12AB"/>
    <w:rsid w:val="00FD17DB"/>
    <w:rsid w:val="00FD1C16"/>
    <w:rsid w:val="00FD2938"/>
    <w:rsid w:val="00FD3578"/>
    <w:rsid w:val="00FD4A8F"/>
    <w:rsid w:val="00FD5A25"/>
    <w:rsid w:val="00FD6372"/>
    <w:rsid w:val="00FD69DF"/>
    <w:rsid w:val="00FD6A82"/>
    <w:rsid w:val="00FD6E6F"/>
    <w:rsid w:val="00FD7BA3"/>
    <w:rsid w:val="00FD7DC2"/>
    <w:rsid w:val="00FD7E68"/>
    <w:rsid w:val="00FD7F9E"/>
    <w:rsid w:val="00FE0078"/>
    <w:rsid w:val="00FE03E8"/>
    <w:rsid w:val="00FE0BA4"/>
    <w:rsid w:val="00FE0C7E"/>
    <w:rsid w:val="00FE0E89"/>
    <w:rsid w:val="00FE1064"/>
    <w:rsid w:val="00FE12CB"/>
    <w:rsid w:val="00FE2C00"/>
    <w:rsid w:val="00FE312E"/>
    <w:rsid w:val="00FE4417"/>
    <w:rsid w:val="00FE462B"/>
    <w:rsid w:val="00FF0D30"/>
    <w:rsid w:val="00FF14DD"/>
    <w:rsid w:val="00FF23C6"/>
    <w:rsid w:val="00FF2FF1"/>
    <w:rsid w:val="00FF345A"/>
    <w:rsid w:val="00FF37BC"/>
    <w:rsid w:val="00FF4A6E"/>
    <w:rsid w:val="00FF5DFC"/>
    <w:rsid w:val="00FF5F8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64514"/>
    <w:rPr>
      <w:sz w:val="24"/>
      <w:szCs w:val="24"/>
    </w:rPr>
  </w:style>
  <w:style w:type="paragraph" w:styleId="Nadpis1">
    <w:name w:val="heading 1"/>
    <w:basedOn w:val="Normln"/>
    <w:next w:val="Normln"/>
    <w:link w:val="Nadpis1Char"/>
    <w:qFormat/>
    <w:rsid w:val="00864514"/>
    <w:pPr>
      <w:keepNext/>
      <w:spacing w:after="240"/>
      <w:jc w:val="center"/>
      <w:outlineLvl w:val="0"/>
    </w:pPr>
    <w:rPr>
      <w:rFonts w:eastAsia="Arial Unicode MS"/>
      <w:b/>
      <w:caps/>
      <w:sz w:val="32"/>
      <w:lang/>
    </w:rPr>
  </w:style>
  <w:style w:type="paragraph" w:styleId="Nadpis2">
    <w:name w:val="heading 2"/>
    <w:basedOn w:val="Normln"/>
    <w:next w:val="Normln"/>
    <w:qFormat/>
    <w:rsid w:val="00864514"/>
    <w:pPr>
      <w:keepNext/>
      <w:spacing w:after="120"/>
      <w:outlineLvl w:val="1"/>
    </w:pPr>
    <w:rPr>
      <w:rFonts w:eastAsia="Arial Unicode MS"/>
      <w:b/>
      <w:bCs/>
      <w:sz w:val="28"/>
    </w:rPr>
  </w:style>
  <w:style w:type="paragraph" w:styleId="Nadpis3">
    <w:name w:val="heading 3"/>
    <w:aliases w:val="Nadpis 3 Char Char,Nadpis 3 Char Char Char Char Char,Nadpis 3 Char Char Char Char Char Char Char Char"/>
    <w:basedOn w:val="Normln"/>
    <w:next w:val="Normln"/>
    <w:qFormat/>
    <w:rsid w:val="00864514"/>
    <w:pPr>
      <w:keepNext/>
      <w:spacing w:after="120"/>
      <w:jc w:val="both"/>
      <w:outlineLvl w:val="2"/>
    </w:pPr>
    <w:rPr>
      <w:rFonts w:eastAsia="Arial Unicode MS"/>
      <w:b/>
      <w:bCs/>
      <w:sz w:val="26"/>
    </w:rPr>
  </w:style>
  <w:style w:type="paragraph" w:styleId="Nadpis4">
    <w:name w:val="heading 4"/>
    <w:aliases w:val="Char"/>
    <w:basedOn w:val="Normln"/>
    <w:next w:val="Normln"/>
    <w:qFormat/>
    <w:rsid w:val="00864514"/>
    <w:pPr>
      <w:keepNext/>
      <w:overflowPunct w:val="0"/>
      <w:autoSpaceDE w:val="0"/>
      <w:autoSpaceDN w:val="0"/>
      <w:adjustRightInd w:val="0"/>
      <w:spacing w:after="120"/>
      <w:outlineLvl w:val="3"/>
    </w:pPr>
    <w:rPr>
      <w:rFonts w:eastAsia="Arial Unicode MS"/>
      <w:b/>
      <w:szCs w:val="20"/>
    </w:rPr>
  </w:style>
  <w:style w:type="paragraph" w:styleId="Nadpis5">
    <w:name w:val="heading 5"/>
    <w:basedOn w:val="Normln"/>
    <w:next w:val="Normln"/>
    <w:link w:val="Nadpis5Char"/>
    <w:qFormat/>
    <w:rsid w:val="00864514"/>
    <w:pPr>
      <w:keepNext/>
      <w:widowControl w:val="0"/>
      <w:tabs>
        <w:tab w:val="left" w:pos="2304"/>
        <w:tab w:val="left" w:pos="3456"/>
        <w:tab w:val="left" w:pos="4608"/>
        <w:tab w:val="left" w:pos="5760"/>
        <w:tab w:val="left" w:pos="6912"/>
        <w:tab w:val="left" w:pos="8064"/>
        <w:tab w:val="left" w:pos="9216"/>
      </w:tabs>
      <w:autoSpaceDE w:val="0"/>
      <w:autoSpaceDN w:val="0"/>
      <w:adjustRightInd w:val="0"/>
      <w:jc w:val="both"/>
      <w:outlineLvl w:val="4"/>
    </w:pPr>
    <w:rPr>
      <w:b/>
      <w:bCs/>
      <w:lang/>
    </w:rPr>
  </w:style>
  <w:style w:type="paragraph" w:styleId="Nadpis6">
    <w:name w:val="heading 6"/>
    <w:basedOn w:val="Normln"/>
    <w:next w:val="Normln"/>
    <w:link w:val="Nadpis6Char"/>
    <w:qFormat/>
    <w:rsid w:val="00864514"/>
    <w:pPr>
      <w:keepNext/>
      <w:widowControl w:val="0"/>
      <w:tabs>
        <w:tab w:val="left" w:pos="2304"/>
        <w:tab w:val="left" w:pos="3456"/>
        <w:tab w:val="left" w:pos="4608"/>
        <w:tab w:val="left" w:pos="5760"/>
        <w:tab w:val="left" w:pos="6912"/>
        <w:tab w:val="left" w:pos="8064"/>
        <w:tab w:val="left" w:pos="9216"/>
      </w:tabs>
      <w:autoSpaceDE w:val="0"/>
      <w:autoSpaceDN w:val="0"/>
      <w:adjustRightInd w:val="0"/>
      <w:ind w:right="144"/>
      <w:jc w:val="both"/>
      <w:outlineLvl w:val="5"/>
    </w:pPr>
    <w:rPr>
      <w:b/>
      <w:bCs/>
      <w:lang/>
    </w:rPr>
  </w:style>
  <w:style w:type="paragraph" w:styleId="Nadpis7">
    <w:name w:val="heading 7"/>
    <w:basedOn w:val="Normln"/>
    <w:next w:val="Normln"/>
    <w:link w:val="Nadpis7Char"/>
    <w:qFormat/>
    <w:rsid w:val="00864514"/>
    <w:pPr>
      <w:keepNext/>
      <w:jc w:val="both"/>
      <w:outlineLvl w:val="6"/>
    </w:pPr>
    <w:rPr>
      <w:b/>
      <w:bCs/>
      <w:sz w:val="28"/>
      <w:u w:val="single"/>
      <w:lang/>
    </w:rPr>
  </w:style>
  <w:style w:type="paragraph" w:styleId="Nadpis8">
    <w:name w:val="heading 8"/>
    <w:basedOn w:val="Normln"/>
    <w:next w:val="Normln"/>
    <w:link w:val="Nadpis8Char"/>
    <w:qFormat/>
    <w:rsid w:val="00864514"/>
    <w:pPr>
      <w:keepNext/>
      <w:jc w:val="center"/>
      <w:outlineLvl w:val="7"/>
    </w:pPr>
    <w:rPr>
      <w:b/>
      <w:bCs/>
      <w:lang/>
    </w:rPr>
  </w:style>
  <w:style w:type="paragraph" w:styleId="Nadpis9">
    <w:name w:val="heading 9"/>
    <w:basedOn w:val="Normln"/>
    <w:next w:val="Normln"/>
    <w:link w:val="Nadpis9Char"/>
    <w:qFormat/>
    <w:rsid w:val="00864514"/>
    <w:pPr>
      <w:keepNext/>
      <w:tabs>
        <w:tab w:val="left" w:pos="945"/>
      </w:tabs>
      <w:jc w:val="both"/>
      <w:outlineLvl w:val="8"/>
    </w:pPr>
    <w:rPr>
      <w:sz w:val="28"/>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A5AE8"/>
    <w:rPr>
      <w:rFonts w:eastAsia="Arial Unicode MS"/>
      <w:b/>
      <w:caps/>
      <w:sz w:val="32"/>
      <w:szCs w:val="24"/>
    </w:rPr>
  </w:style>
  <w:style w:type="character" w:customStyle="1" w:styleId="Nadpis5Char">
    <w:name w:val="Nadpis 5 Char"/>
    <w:link w:val="Nadpis5"/>
    <w:rsid w:val="00CA5AE8"/>
    <w:rPr>
      <w:b/>
      <w:bCs/>
      <w:sz w:val="24"/>
      <w:szCs w:val="24"/>
    </w:rPr>
  </w:style>
  <w:style w:type="character" w:customStyle="1" w:styleId="Nadpis6Char">
    <w:name w:val="Nadpis 6 Char"/>
    <w:link w:val="Nadpis6"/>
    <w:rsid w:val="00CA5AE8"/>
    <w:rPr>
      <w:b/>
      <w:bCs/>
      <w:sz w:val="24"/>
      <w:szCs w:val="24"/>
    </w:rPr>
  </w:style>
  <w:style w:type="character" w:customStyle="1" w:styleId="Nadpis7Char">
    <w:name w:val="Nadpis 7 Char"/>
    <w:link w:val="Nadpis7"/>
    <w:rsid w:val="00CA5AE8"/>
    <w:rPr>
      <w:b/>
      <w:bCs/>
      <w:sz w:val="28"/>
      <w:szCs w:val="24"/>
      <w:u w:val="single"/>
    </w:rPr>
  </w:style>
  <w:style w:type="character" w:customStyle="1" w:styleId="Nadpis8Char">
    <w:name w:val="Nadpis 8 Char"/>
    <w:link w:val="Nadpis8"/>
    <w:rsid w:val="001057B2"/>
    <w:rPr>
      <w:b/>
      <w:bCs/>
      <w:sz w:val="24"/>
      <w:szCs w:val="24"/>
    </w:rPr>
  </w:style>
  <w:style w:type="character" w:customStyle="1" w:styleId="Nadpis9Char">
    <w:name w:val="Nadpis 9 Char"/>
    <w:link w:val="Nadpis9"/>
    <w:rsid w:val="00CA5AE8"/>
    <w:rPr>
      <w:sz w:val="28"/>
      <w:szCs w:val="24"/>
    </w:rPr>
  </w:style>
  <w:style w:type="paragraph" w:styleId="Zkladntext">
    <w:name w:val="Body Text"/>
    <w:aliases w:val="Základní text Char Char Char,Základní text Char Char Char Char,Základní text Char Char Char Char Char Char Char,Základní text Char Char,Základní text Char Char Char Char Char Char"/>
    <w:basedOn w:val="Normln"/>
    <w:rsid w:val="00864514"/>
    <w:pPr>
      <w:jc w:val="both"/>
    </w:pPr>
  </w:style>
  <w:style w:type="paragraph" w:styleId="Zkladntext2">
    <w:name w:val="Body Text 2"/>
    <w:basedOn w:val="Normln"/>
    <w:link w:val="Zkladntext2Char1"/>
    <w:rsid w:val="00864514"/>
    <w:pPr>
      <w:jc w:val="both"/>
    </w:pPr>
    <w:rPr>
      <w:b/>
      <w:lang/>
    </w:rPr>
  </w:style>
  <w:style w:type="paragraph" w:styleId="Zkladntext3">
    <w:name w:val="Body Text 3"/>
    <w:aliases w:val="Základní text 3 Char"/>
    <w:basedOn w:val="Normln"/>
    <w:rsid w:val="00864514"/>
    <w:pPr>
      <w:overflowPunct w:val="0"/>
      <w:autoSpaceDE w:val="0"/>
      <w:autoSpaceDN w:val="0"/>
      <w:adjustRightInd w:val="0"/>
      <w:jc w:val="both"/>
    </w:pPr>
    <w:rPr>
      <w:b/>
      <w:szCs w:val="20"/>
      <w:u w:val="single"/>
    </w:rPr>
  </w:style>
  <w:style w:type="paragraph" w:styleId="Obsah1">
    <w:name w:val="toc 1"/>
    <w:basedOn w:val="Normln"/>
    <w:next w:val="Normln"/>
    <w:autoRedefine/>
    <w:uiPriority w:val="39"/>
    <w:rsid w:val="00864514"/>
    <w:pPr>
      <w:tabs>
        <w:tab w:val="right" w:leader="dot" w:pos="9062"/>
      </w:tabs>
      <w:jc w:val="right"/>
    </w:pPr>
    <w:rPr>
      <w:bCs/>
      <w:noProof/>
      <w:szCs w:val="32"/>
    </w:rPr>
  </w:style>
  <w:style w:type="paragraph" w:styleId="Rozvrendokumentu">
    <w:name w:val="Document Map"/>
    <w:basedOn w:val="Normln"/>
    <w:link w:val="RozvrendokumentuChar"/>
    <w:semiHidden/>
    <w:rsid w:val="00864514"/>
    <w:pPr>
      <w:shd w:val="clear" w:color="auto" w:fill="000080"/>
    </w:pPr>
    <w:rPr>
      <w:sz w:val="20"/>
      <w:lang/>
    </w:rPr>
  </w:style>
  <w:style w:type="character" w:customStyle="1" w:styleId="RozvrendokumentuChar">
    <w:name w:val="Rozvržení dokumentu Char"/>
    <w:link w:val="Rozvrendokumentu"/>
    <w:semiHidden/>
    <w:rsid w:val="00CA5AE8"/>
    <w:rPr>
      <w:rFonts w:cs="Tahoma"/>
      <w:szCs w:val="24"/>
      <w:shd w:val="clear" w:color="auto" w:fill="000080"/>
    </w:rPr>
  </w:style>
  <w:style w:type="paragraph" w:styleId="Zhlav">
    <w:name w:val="header"/>
    <w:basedOn w:val="Normln"/>
    <w:uiPriority w:val="99"/>
    <w:rsid w:val="00864514"/>
    <w:pPr>
      <w:tabs>
        <w:tab w:val="center" w:pos="4536"/>
        <w:tab w:val="right" w:pos="9072"/>
      </w:tabs>
    </w:pPr>
  </w:style>
  <w:style w:type="paragraph" w:styleId="Zkladntextodsazen">
    <w:name w:val="Body Text Indent"/>
    <w:basedOn w:val="Normln"/>
    <w:link w:val="ZkladntextodsazenChar"/>
    <w:rsid w:val="00864514"/>
    <w:pPr>
      <w:ind w:firstLine="708"/>
      <w:jc w:val="both"/>
    </w:pPr>
    <w:rPr>
      <w:lang/>
    </w:rPr>
  </w:style>
  <w:style w:type="character" w:customStyle="1" w:styleId="ZkladntextodsazenChar">
    <w:name w:val="Základní text odsazený Char"/>
    <w:link w:val="Zkladntextodsazen"/>
    <w:rsid w:val="00AB3013"/>
    <w:rPr>
      <w:sz w:val="24"/>
      <w:szCs w:val="24"/>
    </w:rPr>
  </w:style>
  <w:style w:type="paragraph" w:styleId="Zpat">
    <w:name w:val="footer"/>
    <w:basedOn w:val="Normln"/>
    <w:link w:val="ZpatChar"/>
    <w:rsid w:val="00864514"/>
    <w:pPr>
      <w:widowControl w:val="0"/>
      <w:tabs>
        <w:tab w:val="center" w:pos="4536"/>
        <w:tab w:val="right" w:pos="9072"/>
      </w:tabs>
      <w:overflowPunct w:val="0"/>
      <w:autoSpaceDE w:val="0"/>
      <w:autoSpaceDN w:val="0"/>
      <w:adjustRightInd w:val="0"/>
    </w:pPr>
    <w:rPr>
      <w:szCs w:val="20"/>
      <w:lang/>
    </w:rPr>
  </w:style>
  <w:style w:type="character" w:customStyle="1" w:styleId="ZpatChar">
    <w:name w:val="Zápatí Char"/>
    <w:link w:val="Zpat"/>
    <w:semiHidden/>
    <w:rsid w:val="00CA5AE8"/>
    <w:rPr>
      <w:sz w:val="24"/>
    </w:rPr>
  </w:style>
  <w:style w:type="paragraph" w:styleId="Nzev">
    <w:name w:val="Title"/>
    <w:basedOn w:val="Normln"/>
    <w:link w:val="NzevChar"/>
    <w:qFormat/>
    <w:rsid w:val="00864514"/>
    <w:pPr>
      <w:spacing w:before="240" w:after="60"/>
      <w:jc w:val="center"/>
      <w:outlineLvl w:val="0"/>
    </w:pPr>
    <w:rPr>
      <w:rFonts w:ascii="Arial" w:hAnsi="Arial"/>
      <w:b/>
      <w:bCs/>
      <w:kern w:val="28"/>
      <w:sz w:val="32"/>
      <w:szCs w:val="32"/>
      <w:lang/>
    </w:rPr>
  </w:style>
  <w:style w:type="character" w:customStyle="1" w:styleId="NzevChar">
    <w:name w:val="Název Char"/>
    <w:link w:val="Nzev"/>
    <w:rsid w:val="00CA5AE8"/>
    <w:rPr>
      <w:rFonts w:ascii="Arial" w:hAnsi="Arial" w:cs="Arial"/>
      <w:b/>
      <w:bCs/>
      <w:kern w:val="28"/>
      <w:sz w:val="32"/>
      <w:szCs w:val="32"/>
    </w:rPr>
  </w:style>
  <w:style w:type="paragraph" w:styleId="Zkladntextodsazen2">
    <w:name w:val="Body Text Indent 2"/>
    <w:basedOn w:val="Normln"/>
    <w:link w:val="Zkladntextodsazen2Char"/>
    <w:rsid w:val="00864514"/>
    <w:pPr>
      <w:ind w:left="708" w:firstLine="708"/>
      <w:jc w:val="both"/>
    </w:pPr>
    <w:rPr>
      <w:lang/>
    </w:rPr>
  </w:style>
  <w:style w:type="character" w:customStyle="1" w:styleId="Zkladntextodsazen2Char">
    <w:name w:val="Základní text odsazený 2 Char"/>
    <w:link w:val="Zkladntextodsazen2"/>
    <w:semiHidden/>
    <w:rsid w:val="00CA5AE8"/>
    <w:rPr>
      <w:sz w:val="24"/>
      <w:szCs w:val="24"/>
    </w:rPr>
  </w:style>
  <w:style w:type="character" w:styleId="slostrnky">
    <w:name w:val="page number"/>
    <w:basedOn w:val="Standardnpsmoodstavce"/>
    <w:rsid w:val="00864514"/>
  </w:style>
  <w:style w:type="paragraph" w:styleId="Obsah2">
    <w:name w:val="toc 2"/>
    <w:basedOn w:val="Normln"/>
    <w:next w:val="Normln"/>
    <w:autoRedefine/>
    <w:uiPriority w:val="39"/>
    <w:rsid w:val="00864514"/>
    <w:pPr>
      <w:ind w:left="240"/>
    </w:pPr>
  </w:style>
  <w:style w:type="paragraph" w:styleId="Obsah3">
    <w:name w:val="toc 3"/>
    <w:basedOn w:val="Normln"/>
    <w:next w:val="Normln"/>
    <w:autoRedefine/>
    <w:uiPriority w:val="39"/>
    <w:rsid w:val="00864514"/>
    <w:pPr>
      <w:ind w:left="480"/>
    </w:pPr>
  </w:style>
  <w:style w:type="paragraph" w:styleId="Obsah4">
    <w:name w:val="toc 4"/>
    <w:basedOn w:val="Normln"/>
    <w:next w:val="Normln"/>
    <w:autoRedefine/>
    <w:uiPriority w:val="39"/>
    <w:rsid w:val="00864514"/>
    <w:pPr>
      <w:ind w:left="720"/>
    </w:pPr>
  </w:style>
  <w:style w:type="paragraph" w:styleId="Obsah5">
    <w:name w:val="toc 5"/>
    <w:basedOn w:val="Normln"/>
    <w:next w:val="Normln"/>
    <w:autoRedefine/>
    <w:uiPriority w:val="39"/>
    <w:rsid w:val="00864514"/>
    <w:pPr>
      <w:ind w:left="960"/>
    </w:pPr>
  </w:style>
  <w:style w:type="paragraph" w:styleId="Obsah6">
    <w:name w:val="toc 6"/>
    <w:basedOn w:val="Normln"/>
    <w:next w:val="Normln"/>
    <w:autoRedefine/>
    <w:uiPriority w:val="39"/>
    <w:rsid w:val="00864514"/>
    <w:pPr>
      <w:ind w:left="1200"/>
    </w:pPr>
  </w:style>
  <w:style w:type="paragraph" w:styleId="Obsah7">
    <w:name w:val="toc 7"/>
    <w:basedOn w:val="Normln"/>
    <w:next w:val="Normln"/>
    <w:autoRedefine/>
    <w:uiPriority w:val="39"/>
    <w:rsid w:val="00864514"/>
    <w:pPr>
      <w:ind w:left="1440"/>
    </w:pPr>
  </w:style>
  <w:style w:type="paragraph" w:styleId="Obsah8">
    <w:name w:val="toc 8"/>
    <w:basedOn w:val="Normln"/>
    <w:next w:val="Normln"/>
    <w:autoRedefine/>
    <w:uiPriority w:val="39"/>
    <w:rsid w:val="00864514"/>
    <w:pPr>
      <w:ind w:left="1680"/>
    </w:pPr>
  </w:style>
  <w:style w:type="paragraph" w:styleId="Obsah9">
    <w:name w:val="toc 9"/>
    <w:basedOn w:val="Normln"/>
    <w:next w:val="Normln"/>
    <w:autoRedefine/>
    <w:uiPriority w:val="39"/>
    <w:rsid w:val="00864514"/>
    <w:pPr>
      <w:ind w:left="1920"/>
    </w:pPr>
  </w:style>
  <w:style w:type="character" w:styleId="Hypertextovodkaz">
    <w:name w:val="Hyperlink"/>
    <w:uiPriority w:val="99"/>
    <w:rsid w:val="00864514"/>
    <w:rPr>
      <w:color w:val="0000FF"/>
      <w:u w:val="single"/>
    </w:rPr>
  </w:style>
  <w:style w:type="paragraph" w:styleId="Zkladntextodsazen3">
    <w:name w:val="Body Text Indent 3"/>
    <w:basedOn w:val="Normln"/>
    <w:link w:val="Zkladntextodsazen3Char"/>
    <w:rsid w:val="00864514"/>
    <w:pPr>
      <w:ind w:left="708"/>
      <w:jc w:val="both"/>
    </w:pPr>
    <w:rPr>
      <w:lang/>
    </w:rPr>
  </w:style>
  <w:style w:type="character" w:customStyle="1" w:styleId="Zkladntextodsazen3Char">
    <w:name w:val="Základní text odsazený 3 Char"/>
    <w:link w:val="Zkladntextodsazen3"/>
    <w:semiHidden/>
    <w:rsid w:val="00CA5AE8"/>
    <w:rPr>
      <w:sz w:val="24"/>
      <w:szCs w:val="24"/>
    </w:rPr>
  </w:style>
  <w:style w:type="paragraph" w:styleId="Titulek">
    <w:name w:val="caption"/>
    <w:basedOn w:val="Normln"/>
    <w:next w:val="Normln"/>
    <w:qFormat/>
    <w:rsid w:val="00864514"/>
    <w:pPr>
      <w:jc w:val="both"/>
    </w:pPr>
    <w:rPr>
      <w:b/>
      <w:bCs/>
    </w:rPr>
  </w:style>
  <w:style w:type="paragraph" w:styleId="Podtitul">
    <w:name w:val="Subtitle"/>
    <w:basedOn w:val="Normln"/>
    <w:link w:val="PodtitulChar"/>
    <w:qFormat/>
    <w:rsid w:val="00864514"/>
    <w:pPr>
      <w:jc w:val="center"/>
    </w:pPr>
    <w:rPr>
      <w:b/>
      <w:bCs/>
      <w:lang/>
    </w:rPr>
  </w:style>
  <w:style w:type="character" w:customStyle="1" w:styleId="PodtitulChar">
    <w:name w:val="Podtitul Char"/>
    <w:link w:val="Podtitul"/>
    <w:rsid w:val="001057B2"/>
    <w:rPr>
      <w:b/>
      <w:bCs/>
      <w:sz w:val="24"/>
      <w:szCs w:val="24"/>
    </w:rPr>
  </w:style>
  <w:style w:type="character" w:styleId="Sledovanodkaz">
    <w:name w:val="FollowedHyperlink"/>
    <w:rsid w:val="00864514"/>
    <w:rPr>
      <w:color w:val="800080"/>
      <w:u w:val="single"/>
    </w:rPr>
  </w:style>
  <w:style w:type="paragraph" w:styleId="Textbubliny">
    <w:name w:val="Balloon Text"/>
    <w:basedOn w:val="Normln"/>
    <w:link w:val="TextbublinyChar"/>
    <w:semiHidden/>
    <w:rsid w:val="00864514"/>
    <w:rPr>
      <w:rFonts w:ascii="Tahoma" w:hAnsi="Tahoma"/>
      <w:sz w:val="16"/>
      <w:szCs w:val="16"/>
      <w:lang/>
    </w:rPr>
  </w:style>
  <w:style w:type="character" w:customStyle="1" w:styleId="TextbublinyChar">
    <w:name w:val="Text bubliny Char"/>
    <w:link w:val="Textbubliny"/>
    <w:semiHidden/>
    <w:rsid w:val="001057B2"/>
    <w:rPr>
      <w:rFonts w:ascii="Tahoma" w:hAnsi="Tahoma" w:cs="Tahoma"/>
      <w:sz w:val="16"/>
      <w:szCs w:val="16"/>
    </w:rPr>
  </w:style>
  <w:style w:type="character" w:customStyle="1" w:styleId="Zkladntext3Char1">
    <w:name w:val="Základní text 3 Char1"/>
    <w:aliases w:val="Základní text 3 Char Char"/>
    <w:rsid w:val="00864514"/>
    <w:rPr>
      <w:b/>
      <w:sz w:val="24"/>
      <w:u w:val="single"/>
      <w:lang w:val="cs-CZ" w:eastAsia="cs-CZ" w:bidi="ar-SA"/>
    </w:rPr>
  </w:style>
  <w:style w:type="character" w:customStyle="1" w:styleId="ZkladntextChar">
    <w:name w:val="Základní text Char"/>
    <w:aliases w:val="Základní text Char Char Char Char1,Základní text Char Char Char Char Char,Základní text Char Char Char Char Char Char Char Char,Základní text Char Char Char2,Základní text Char Char Char Char Char Char Char1,Základní text Char1"/>
    <w:rsid w:val="00864514"/>
    <w:rPr>
      <w:sz w:val="24"/>
      <w:szCs w:val="24"/>
      <w:lang w:val="cs-CZ" w:eastAsia="cs-CZ" w:bidi="ar-SA"/>
    </w:rPr>
  </w:style>
  <w:style w:type="character" w:customStyle="1" w:styleId="Char">
    <w:name w:val="Char"/>
    <w:rsid w:val="00864514"/>
    <w:rPr>
      <w:sz w:val="24"/>
      <w:szCs w:val="24"/>
      <w:lang w:val="cs-CZ" w:eastAsia="cs-CZ" w:bidi="ar-SA"/>
    </w:rPr>
  </w:style>
  <w:style w:type="character" w:customStyle="1" w:styleId="Nadpis3Char1">
    <w:name w:val="Nadpis 3 Char1"/>
    <w:aliases w:val="Nadpis 3 Char Char Char,Nadpis 3 Char Char Char Char Char Char,Nadpis 3 Char Char Char Char Char Char Char Char Char,Nadpis 3 Char Char1"/>
    <w:rsid w:val="00864514"/>
    <w:rPr>
      <w:rFonts w:eastAsia="Arial Unicode MS"/>
      <w:b/>
      <w:bCs/>
      <w:sz w:val="26"/>
      <w:szCs w:val="24"/>
      <w:lang w:val="cs-CZ" w:eastAsia="cs-CZ" w:bidi="ar-SA"/>
    </w:rPr>
  </w:style>
  <w:style w:type="character" w:customStyle="1" w:styleId="ZkladntextCharCharChar1">
    <w:name w:val="Základní text Char Char Char1"/>
    <w:aliases w:val="Základní text Char Char Char Char2,Základní text Char Char Char Char Char1,Základní text Char Char Char Char Char Char Char Char1,Základní text Char Char Char Char Char Char Char2"/>
    <w:rsid w:val="00864514"/>
    <w:rPr>
      <w:sz w:val="24"/>
      <w:szCs w:val="24"/>
      <w:lang w:val="cs-CZ" w:eastAsia="cs-CZ" w:bidi="ar-SA"/>
    </w:rPr>
  </w:style>
  <w:style w:type="character" w:customStyle="1" w:styleId="Nadpis3Char">
    <w:name w:val="Nadpis 3 Char"/>
    <w:aliases w:val="Nadpis 3 Char Char Char1,Nadpis 3 Char Char Char Char Char Char1,Nadpis 3 Char Char Char Char Char Char Char Char Char1"/>
    <w:rsid w:val="00864514"/>
    <w:rPr>
      <w:rFonts w:eastAsia="Arial Unicode MS"/>
      <w:b/>
      <w:bCs/>
      <w:sz w:val="26"/>
      <w:szCs w:val="24"/>
      <w:lang w:val="cs-CZ" w:eastAsia="cs-CZ" w:bidi="ar-SA"/>
    </w:rPr>
  </w:style>
  <w:style w:type="character" w:customStyle="1" w:styleId="Zkladntext2Char">
    <w:name w:val="Základní text 2 Char"/>
    <w:rsid w:val="00864514"/>
    <w:rPr>
      <w:b/>
      <w:sz w:val="24"/>
      <w:szCs w:val="24"/>
      <w:lang w:val="cs-CZ" w:eastAsia="cs-CZ" w:bidi="ar-SA"/>
    </w:rPr>
  </w:style>
  <w:style w:type="character" w:customStyle="1" w:styleId="Nadpis4Char">
    <w:name w:val="Nadpis 4 Char"/>
    <w:aliases w:val="Char Char2"/>
    <w:rsid w:val="00864514"/>
    <w:rPr>
      <w:rFonts w:eastAsia="Arial Unicode MS"/>
      <w:b/>
      <w:sz w:val="24"/>
      <w:lang w:val="cs-CZ" w:eastAsia="cs-CZ" w:bidi="ar-SA"/>
    </w:rPr>
  </w:style>
  <w:style w:type="character" w:customStyle="1" w:styleId="CharChar1">
    <w:name w:val="Char Char1"/>
    <w:aliases w:val="Nadpis 4 Char1"/>
    <w:locked/>
    <w:rsid w:val="00864514"/>
    <w:rPr>
      <w:rFonts w:eastAsia="Arial Unicode MS"/>
      <w:b/>
      <w:sz w:val="24"/>
      <w:lang w:val="cs-CZ" w:eastAsia="cs-CZ" w:bidi="ar-SA"/>
    </w:rPr>
  </w:style>
  <w:style w:type="character" w:customStyle="1" w:styleId="CharChar">
    <w:name w:val="Char Char"/>
    <w:locked/>
    <w:rsid w:val="00864514"/>
    <w:rPr>
      <w:b/>
      <w:sz w:val="24"/>
      <w:szCs w:val="24"/>
      <w:lang w:val="cs-CZ" w:eastAsia="cs-CZ" w:bidi="ar-SA"/>
    </w:rPr>
  </w:style>
  <w:style w:type="character" w:customStyle="1" w:styleId="CharCharChar3">
    <w:name w:val="Char Char Char3"/>
    <w:rsid w:val="00864514"/>
    <w:rPr>
      <w:rFonts w:eastAsia="Arial Unicode MS"/>
      <w:b/>
      <w:sz w:val="24"/>
      <w:lang w:val="cs-CZ" w:eastAsia="cs-CZ" w:bidi="ar-SA"/>
    </w:rPr>
  </w:style>
  <w:style w:type="character" w:customStyle="1" w:styleId="ZkladntextCharCharCharCharCharChar1">
    <w:name w:val="Základní text Char Char Char Char Char Char1"/>
    <w:rsid w:val="00864514"/>
    <w:rPr>
      <w:sz w:val="24"/>
      <w:szCs w:val="24"/>
      <w:lang w:val="cs-CZ" w:eastAsia="cs-CZ" w:bidi="ar-SA"/>
    </w:rPr>
  </w:style>
  <w:style w:type="character" w:customStyle="1" w:styleId="CharCharChar">
    <w:name w:val="Char Char Char"/>
    <w:locked/>
    <w:rsid w:val="00864514"/>
    <w:rPr>
      <w:rFonts w:eastAsia="Arial Unicode MS"/>
      <w:sz w:val="24"/>
      <w:lang w:val="cs-CZ" w:eastAsia="cs-CZ" w:bidi="ar-SA"/>
    </w:rPr>
  </w:style>
  <w:style w:type="character" w:customStyle="1" w:styleId="CharCharChar4">
    <w:name w:val="Char Char Char4"/>
    <w:rsid w:val="00864514"/>
    <w:rPr>
      <w:rFonts w:eastAsia="Arial Unicode MS"/>
      <w:b/>
      <w:sz w:val="24"/>
      <w:lang w:val="cs-CZ" w:eastAsia="cs-CZ" w:bidi="ar-SA"/>
    </w:rPr>
  </w:style>
  <w:style w:type="character" w:customStyle="1" w:styleId="Char1">
    <w:name w:val="Char1"/>
    <w:rsid w:val="00864514"/>
    <w:rPr>
      <w:b/>
      <w:sz w:val="24"/>
      <w:szCs w:val="24"/>
      <w:lang w:val="cs-CZ" w:eastAsia="cs-CZ" w:bidi="ar-SA"/>
    </w:rPr>
  </w:style>
  <w:style w:type="character" w:customStyle="1" w:styleId="CharCharCharChar">
    <w:name w:val="Char Char Char Char"/>
    <w:locked/>
    <w:rsid w:val="00864514"/>
    <w:rPr>
      <w:rFonts w:eastAsia="Arial Unicode MS"/>
      <w:sz w:val="24"/>
      <w:lang w:val="cs-CZ" w:eastAsia="cs-CZ" w:bidi="ar-SA"/>
    </w:rPr>
  </w:style>
  <w:style w:type="character" w:customStyle="1" w:styleId="Nadpis2Char">
    <w:name w:val="Nadpis 2 Char"/>
    <w:rsid w:val="00864514"/>
    <w:rPr>
      <w:rFonts w:eastAsia="Arial Unicode MS"/>
      <w:b/>
      <w:bCs/>
      <w:sz w:val="28"/>
      <w:szCs w:val="24"/>
    </w:rPr>
  </w:style>
  <w:style w:type="character" w:customStyle="1" w:styleId="ZhlavChar">
    <w:name w:val="Záhlaví Char"/>
    <w:uiPriority w:val="99"/>
    <w:rsid w:val="00864514"/>
    <w:rPr>
      <w:sz w:val="24"/>
      <w:szCs w:val="24"/>
    </w:rPr>
  </w:style>
  <w:style w:type="paragraph" w:styleId="Citace">
    <w:name w:val="Quote"/>
    <w:basedOn w:val="Normln"/>
    <w:next w:val="Normln"/>
    <w:qFormat/>
    <w:rsid w:val="00864514"/>
    <w:rPr>
      <w:i/>
      <w:iCs/>
      <w:color w:val="000000"/>
    </w:rPr>
  </w:style>
  <w:style w:type="character" w:customStyle="1" w:styleId="CitaceChar">
    <w:name w:val="Citace Char"/>
    <w:rsid w:val="00864514"/>
    <w:rPr>
      <w:i/>
      <w:iCs/>
      <w:color w:val="000000"/>
      <w:sz w:val="24"/>
      <w:szCs w:val="24"/>
    </w:rPr>
  </w:style>
  <w:style w:type="character" w:customStyle="1" w:styleId="TextkomenteChar">
    <w:name w:val="Text komentáře Char"/>
    <w:basedOn w:val="Standardnpsmoodstavce"/>
    <w:link w:val="Textkomente"/>
    <w:semiHidden/>
    <w:rsid w:val="001057B2"/>
  </w:style>
  <w:style w:type="paragraph" w:styleId="Textkomente">
    <w:name w:val="annotation text"/>
    <w:basedOn w:val="Normln"/>
    <w:link w:val="TextkomenteChar"/>
    <w:semiHidden/>
    <w:unhideWhenUsed/>
    <w:rsid w:val="001057B2"/>
    <w:rPr>
      <w:sz w:val="20"/>
      <w:szCs w:val="20"/>
    </w:rPr>
  </w:style>
  <w:style w:type="character" w:customStyle="1" w:styleId="PedmtkomenteChar">
    <w:name w:val="Předmět komentáře Char"/>
    <w:link w:val="Pedmtkomente"/>
    <w:semiHidden/>
    <w:rsid w:val="001057B2"/>
    <w:rPr>
      <w:b/>
      <w:bCs/>
    </w:rPr>
  </w:style>
  <w:style w:type="paragraph" w:styleId="Pedmtkomente">
    <w:name w:val="annotation subject"/>
    <w:basedOn w:val="Textkomente"/>
    <w:next w:val="Textkomente"/>
    <w:link w:val="PedmtkomenteChar"/>
    <w:semiHidden/>
    <w:unhideWhenUsed/>
    <w:rsid w:val="001057B2"/>
    <w:rPr>
      <w:b/>
      <w:bCs/>
      <w:lang/>
    </w:rPr>
  </w:style>
  <w:style w:type="character" w:customStyle="1" w:styleId="CharCharChar1">
    <w:name w:val="Char Char Char1"/>
    <w:rsid w:val="001057B2"/>
    <w:rPr>
      <w:rFonts w:ascii="Arial Unicode MS" w:eastAsia="Arial Unicode MS" w:hAnsi="Arial Unicode MS" w:cs="Times New Roman" w:hint="eastAsia"/>
      <w:b/>
      <w:bCs w:val="0"/>
      <w:sz w:val="24"/>
      <w:lang w:val="cs-CZ" w:eastAsia="cs-CZ" w:bidi="ar-SA"/>
    </w:rPr>
  </w:style>
  <w:style w:type="character" w:customStyle="1" w:styleId="PodtitulChar1">
    <w:name w:val="Podtitul Char1"/>
    <w:locked/>
    <w:rsid w:val="00CA5AE8"/>
    <w:rPr>
      <w:b/>
      <w:bCs/>
      <w:sz w:val="24"/>
      <w:szCs w:val="24"/>
    </w:rPr>
  </w:style>
  <w:style w:type="character" w:styleId="Siln">
    <w:name w:val="Strong"/>
    <w:uiPriority w:val="22"/>
    <w:qFormat/>
    <w:rsid w:val="008404AB"/>
    <w:rPr>
      <w:b/>
      <w:bCs/>
    </w:rPr>
  </w:style>
  <w:style w:type="table" w:styleId="Mkatabulky">
    <w:name w:val="Table Grid"/>
    <w:basedOn w:val="Normlntabulka"/>
    <w:rsid w:val="00C36B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zevknihy">
    <w:name w:val="Book Title"/>
    <w:uiPriority w:val="33"/>
    <w:qFormat/>
    <w:rsid w:val="00FD7F9E"/>
    <w:rPr>
      <w:b/>
      <w:bCs/>
      <w:smallCaps/>
      <w:spacing w:val="5"/>
    </w:rPr>
  </w:style>
  <w:style w:type="paragraph" w:styleId="Odstavecseseznamem">
    <w:name w:val="List Paragraph"/>
    <w:basedOn w:val="Normln"/>
    <w:uiPriority w:val="34"/>
    <w:qFormat/>
    <w:rsid w:val="000128ED"/>
    <w:pPr>
      <w:ind w:left="720"/>
      <w:contextualSpacing/>
    </w:pPr>
  </w:style>
  <w:style w:type="character" w:customStyle="1" w:styleId="Zkladntext2Char1">
    <w:name w:val="Základní text 2 Char1"/>
    <w:link w:val="Zkladntext2"/>
    <w:locked/>
    <w:rsid w:val="00FD7DC2"/>
    <w:rPr>
      <w:b/>
      <w:sz w:val="24"/>
      <w:szCs w:val="24"/>
    </w:rPr>
  </w:style>
  <w:style w:type="paragraph" w:styleId="Bezmezer">
    <w:name w:val="No Spacing"/>
    <w:uiPriority w:val="1"/>
    <w:qFormat/>
    <w:rsid w:val="003E450D"/>
    <w:rPr>
      <w:sz w:val="24"/>
      <w:szCs w:val="24"/>
    </w:rPr>
  </w:style>
  <w:style w:type="character" w:customStyle="1" w:styleId="Zdraznn">
    <w:name w:val="Zdůraznění"/>
    <w:uiPriority w:val="20"/>
    <w:qFormat/>
    <w:rsid w:val="00AA76C9"/>
    <w:rPr>
      <w:i/>
      <w:iCs/>
    </w:rPr>
  </w:style>
</w:styles>
</file>

<file path=word/webSettings.xml><?xml version="1.0" encoding="utf-8"?>
<w:webSettings xmlns:r="http://schemas.openxmlformats.org/officeDocument/2006/relationships" xmlns:w="http://schemas.openxmlformats.org/wordprocessingml/2006/main">
  <w:divs>
    <w:div w:id="94639533">
      <w:bodyDiv w:val="1"/>
      <w:marLeft w:val="0"/>
      <w:marRight w:val="0"/>
      <w:marTop w:val="0"/>
      <w:marBottom w:val="0"/>
      <w:divBdr>
        <w:top w:val="none" w:sz="0" w:space="0" w:color="auto"/>
        <w:left w:val="none" w:sz="0" w:space="0" w:color="auto"/>
        <w:bottom w:val="none" w:sz="0" w:space="0" w:color="auto"/>
        <w:right w:val="none" w:sz="0" w:space="0" w:color="auto"/>
      </w:divBdr>
    </w:div>
    <w:div w:id="119766520">
      <w:bodyDiv w:val="1"/>
      <w:marLeft w:val="0"/>
      <w:marRight w:val="0"/>
      <w:marTop w:val="0"/>
      <w:marBottom w:val="0"/>
      <w:divBdr>
        <w:top w:val="none" w:sz="0" w:space="0" w:color="auto"/>
        <w:left w:val="none" w:sz="0" w:space="0" w:color="auto"/>
        <w:bottom w:val="none" w:sz="0" w:space="0" w:color="auto"/>
        <w:right w:val="none" w:sz="0" w:space="0" w:color="auto"/>
      </w:divBdr>
    </w:div>
    <w:div w:id="137193864">
      <w:bodyDiv w:val="1"/>
      <w:marLeft w:val="0"/>
      <w:marRight w:val="0"/>
      <w:marTop w:val="0"/>
      <w:marBottom w:val="0"/>
      <w:divBdr>
        <w:top w:val="none" w:sz="0" w:space="0" w:color="auto"/>
        <w:left w:val="none" w:sz="0" w:space="0" w:color="auto"/>
        <w:bottom w:val="none" w:sz="0" w:space="0" w:color="auto"/>
        <w:right w:val="none" w:sz="0" w:space="0" w:color="auto"/>
      </w:divBdr>
    </w:div>
    <w:div w:id="179586958">
      <w:bodyDiv w:val="1"/>
      <w:marLeft w:val="0"/>
      <w:marRight w:val="0"/>
      <w:marTop w:val="0"/>
      <w:marBottom w:val="0"/>
      <w:divBdr>
        <w:top w:val="none" w:sz="0" w:space="0" w:color="auto"/>
        <w:left w:val="none" w:sz="0" w:space="0" w:color="auto"/>
        <w:bottom w:val="none" w:sz="0" w:space="0" w:color="auto"/>
        <w:right w:val="none" w:sz="0" w:space="0" w:color="auto"/>
      </w:divBdr>
    </w:div>
    <w:div w:id="192614953">
      <w:bodyDiv w:val="1"/>
      <w:marLeft w:val="0"/>
      <w:marRight w:val="0"/>
      <w:marTop w:val="0"/>
      <w:marBottom w:val="0"/>
      <w:divBdr>
        <w:top w:val="none" w:sz="0" w:space="0" w:color="auto"/>
        <w:left w:val="none" w:sz="0" w:space="0" w:color="auto"/>
        <w:bottom w:val="none" w:sz="0" w:space="0" w:color="auto"/>
        <w:right w:val="none" w:sz="0" w:space="0" w:color="auto"/>
      </w:divBdr>
    </w:div>
    <w:div w:id="208885627">
      <w:bodyDiv w:val="1"/>
      <w:marLeft w:val="0"/>
      <w:marRight w:val="0"/>
      <w:marTop w:val="0"/>
      <w:marBottom w:val="0"/>
      <w:divBdr>
        <w:top w:val="none" w:sz="0" w:space="0" w:color="auto"/>
        <w:left w:val="none" w:sz="0" w:space="0" w:color="auto"/>
        <w:bottom w:val="none" w:sz="0" w:space="0" w:color="auto"/>
        <w:right w:val="none" w:sz="0" w:space="0" w:color="auto"/>
      </w:divBdr>
    </w:div>
    <w:div w:id="385111164">
      <w:bodyDiv w:val="1"/>
      <w:marLeft w:val="0"/>
      <w:marRight w:val="0"/>
      <w:marTop w:val="0"/>
      <w:marBottom w:val="0"/>
      <w:divBdr>
        <w:top w:val="none" w:sz="0" w:space="0" w:color="auto"/>
        <w:left w:val="none" w:sz="0" w:space="0" w:color="auto"/>
        <w:bottom w:val="none" w:sz="0" w:space="0" w:color="auto"/>
        <w:right w:val="none" w:sz="0" w:space="0" w:color="auto"/>
      </w:divBdr>
    </w:div>
    <w:div w:id="415441561">
      <w:bodyDiv w:val="1"/>
      <w:marLeft w:val="0"/>
      <w:marRight w:val="0"/>
      <w:marTop w:val="0"/>
      <w:marBottom w:val="0"/>
      <w:divBdr>
        <w:top w:val="none" w:sz="0" w:space="0" w:color="auto"/>
        <w:left w:val="none" w:sz="0" w:space="0" w:color="auto"/>
        <w:bottom w:val="none" w:sz="0" w:space="0" w:color="auto"/>
        <w:right w:val="none" w:sz="0" w:space="0" w:color="auto"/>
      </w:divBdr>
    </w:div>
    <w:div w:id="419303144">
      <w:bodyDiv w:val="1"/>
      <w:marLeft w:val="0"/>
      <w:marRight w:val="0"/>
      <w:marTop w:val="0"/>
      <w:marBottom w:val="0"/>
      <w:divBdr>
        <w:top w:val="none" w:sz="0" w:space="0" w:color="auto"/>
        <w:left w:val="none" w:sz="0" w:space="0" w:color="auto"/>
        <w:bottom w:val="none" w:sz="0" w:space="0" w:color="auto"/>
        <w:right w:val="none" w:sz="0" w:space="0" w:color="auto"/>
      </w:divBdr>
    </w:div>
    <w:div w:id="442041854">
      <w:bodyDiv w:val="1"/>
      <w:marLeft w:val="0"/>
      <w:marRight w:val="0"/>
      <w:marTop w:val="0"/>
      <w:marBottom w:val="0"/>
      <w:divBdr>
        <w:top w:val="none" w:sz="0" w:space="0" w:color="auto"/>
        <w:left w:val="none" w:sz="0" w:space="0" w:color="auto"/>
        <w:bottom w:val="none" w:sz="0" w:space="0" w:color="auto"/>
        <w:right w:val="none" w:sz="0" w:space="0" w:color="auto"/>
      </w:divBdr>
    </w:div>
    <w:div w:id="688600436">
      <w:bodyDiv w:val="1"/>
      <w:marLeft w:val="0"/>
      <w:marRight w:val="0"/>
      <w:marTop w:val="0"/>
      <w:marBottom w:val="0"/>
      <w:divBdr>
        <w:top w:val="none" w:sz="0" w:space="0" w:color="auto"/>
        <w:left w:val="none" w:sz="0" w:space="0" w:color="auto"/>
        <w:bottom w:val="none" w:sz="0" w:space="0" w:color="auto"/>
        <w:right w:val="none" w:sz="0" w:space="0" w:color="auto"/>
      </w:divBdr>
    </w:div>
    <w:div w:id="777022810">
      <w:bodyDiv w:val="1"/>
      <w:marLeft w:val="0"/>
      <w:marRight w:val="0"/>
      <w:marTop w:val="0"/>
      <w:marBottom w:val="0"/>
      <w:divBdr>
        <w:top w:val="none" w:sz="0" w:space="0" w:color="auto"/>
        <w:left w:val="none" w:sz="0" w:space="0" w:color="auto"/>
        <w:bottom w:val="none" w:sz="0" w:space="0" w:color="auto"/>
        <w:right w:val="none" w:sz="0" w:space="0" w:color="auto"/>
      </w:divBdr>
    </w:div>
    <w:div w:id="802427902">
      <w:bodyDiv w:val="1"/>
      <w:marLeft w:val="0"/>
      <w:marRight w:val="0"/>
      <w:marTop w:val="0"/>
      <w:marBottom w:val="0"/>
      <w:divBdr>
        <w:top w:val="none" w:sz="0" w:space="0" w:color="auto"/>
        <w:left w:val="none" w:sz="0" w:space="0" w:color="auto"/>
        <w:bottom w:val="none" w:sz="0" w:space="0" w:color="auto"/>
        <w:right w:val="none" w:sz="0" w:space="0" w:color="auto"/>
      </w:divBdr>
    </w:div>
    <w:div w:id="812598084">
      <w:bodyDiv w:val="1"/>
      <w:marLeft w:val="0"/>
      <w:marRight w:val="0"/>
      <w:marTop w:val="0"/>
      <w:marBottom w:val="0"/>
      <w:divBdr>
        <w:top w:val="none" w:sz="0" w:space="0" w:color="auto"/>
        <w:left w:val="none" w:sz="0" w:space="0" w:color="auto"/>
        <w:bottom w:val="none" w:sz="0" w:space="0" w:color="auto"/>
        <w:right w:val="none" w:sz="0" w:space="0" w:color="auto"/>
      </w:divBdr>
    </w:div>
    <w:div w:id="814568702">
      <w:bodyDiv w:val="1"/>
      <w:marLeft w:val="0"/>
      <w:marRight w:val="0"/>
      <w:marTop w:val="0"/>
      <w:marBottom w:val="0"/>
      <w:divBdr>
        <w:top w:val="none" w:sz="0" w:space="0" w:color="auto"/>
        <w:left w:val="none" w:sz="0" w:space="0" w:color="auto"/>
        <w:bottom w:val="none" w:sz="0" w:space="0" w:color="auto"/>
        <w:right w:val="none" w:sz="0" w:space="0" w:color="auto"/>
      </w:divBdr>
    </w:div>
    <w:div w:id="880946638">
      <w:bodyDiv w:val="1"/>
      <w:marLeft w:val="0"/>
      <w:marRight w:val="0"/>
      <w:marTop w:val="0"/>
      <w:marBottom w:val="0"/>
      <w:divBdr>
        <w:top w:val="none" w:sz="0" w:space="0" w:color="auto"/>
        <w:left w:val="none" w:sz="0" w:space="0" w:color="auto"/>
        <w:bottom w:val="none" w:sz="0" w:space="0" w:color="auto"/>
        <w:right w:val="none" w:sz="0" w:space="0" w:color="auto"/>
      </w:divBdr>
    </w:div>
    <w:div w:id="885025559">
      <w:bodyDiv w:val="1"/>
      <w:marLeft w:val="0"/>
      <w:marRight w:val="0"/>
      <w:marTop w:val="0"/>
      <w:marBottom w:val="0"/>
      <w:divBdr>
        <w:top w:val="none" w:sz="0" w:space="0" w:color="auto"/>
        <w:left w:val="none" w:sz="0" w:space="0" w:color="auto"/>
        <w:bottom w:val="none" w:sz="0" w:space="0" w:color="auto"/>
        <w:right w:val="none" w:sz="0" w:space="0" w:color="auto"/>
      </w:divBdr>
    </w:div>
    <w:div w:id="953437843">
      <w:bodyDiv w:val="1"/>
      <w:marLeft w:val="0"/>
      <w:marRight w:val="0"/>
      <w:marTop w:val="0"/>
      <w:marBottom w:val="0"/>
      <w:divBdr>
        <w:top w:val="none" w:sz="0" w:space="0" w:color="auto"/>
        <w:left w:val="none" w:sz="0" w:space="0" w:color="auto"/>
        <w:bottom w:val="none" w:sz="0" w:space="0" w:color="auto"/>
        <w:right w:val="none" w:sz="0" w:space="0" w:color="auto"/>
      </w:divBdr>
    </w:div>
    <w:div w:id="1094595040">
      <w:bodyDiv w:val="1"/>
      <w:marLeft w:val="0"/>
      <w:marRight w:val="0"/>
      <w:marTop w:val="0"/>
      <w:marBottom w:val="0"/>
      <w:divBdr>
        <w:top w:val="none" w:sz="0" w:space="0" w:color="auto"/>
        <w:left w:val="none" w:sz="0" w:space="0" w:color="auto"/>
        <w:bottom w:val="none" w:sz="0" w:space="0" w:color="auto"/>
        <w:right w:val="none" w:sz="0" w:space="0" w:color="auto"/>
      </w:divBdr>
    </w:div>
    <w:div w:id="1112169216">
      <w:bodyDiv w:val="1"/>
      <w:marLeft w:val="0"/>
      <w:marRight w:val="0"/>
      <w:marTop w:val="0"/>
      <w:marBottom w:val="0"/>
      <w:divBdr>
        <w:top w:val="none" w:sz="0" w:space="0" w:color="auto"/>
        <w:left w:val="none" w:sz="0" w:space="0" w:color="auto"/>
        <w:bottom w:val="none" w:sz="0" w:space="0" w:color="auto"/>
        <w:right w:val="none" w:sz="0" w:space="0" w:color="auto"/>
      </w:divBdr>
    </w:div>
    <w:div w:id="1117406921">
      <w:bodyDiv w:val="1"/>
      <w:marLeft w:val="0"/>
      <w:marRight w:val="0"/>
      <w:marTop w:val="0"/>
      <w:marBottom w:val="0"/>
      <w:divBdr>
        <w:top w:val="none" w:sz="0" w:space="0" w:color="auto"/>
        <w:left w:val="none" w:sz="0" w:space="0" w:color="auto"/>
        <w:bottom w:val="none" w:sz="0" w:space="0" w:color="auto"/>
        <w:right w:val="none" w:sz="0" w:space="0" w:color="auto"/>
      </w:divBdr>
    </w:div>
    <w:div w:id="1129592218">
      <w:bodyDiv w:val="1"/>
      <w:marLeft w:val="0"/>
      <w:marRight w:val="0"/>
      <w:marTop w:val="0"/>
      <w:marBottom w:val="0"/>
      <w:divBdr>
        <w:top w:val="none" w:sz="0" w:space="0" w:color="auto"/>
        <w:left w:val="none" w:sz="0" w:space="0" w:color="auto"/>
        <w:bottom w:val="none" w:sz="0" w:space="0" w:color="auto"/>
        <w:right w:val="none" w:sz="0" w:space="0" w:color="auto"/>
      </w:divBdr>
    </w:div>
    <w:div w:id="1171606695">
      <w:bodyDiv w:val="1"/>
      <w:marLeft w:val="0"/>
      <w:marRight w:val="0"/>
      <w:marTop w:val="0"/>
      <w:marBottom w:val="0"/>
      <w:divBdr>
        <w:top w:val="none" w:sz="0" w:space="0" w:color="auto"/>
        <w:left w:val="none" w:sz="0" w:space="0" w:color="auto"/>
        <w:bottom w:val="none" w:sz="0" w:space="0" w:color="auto"/>
        <w:right w:val="none" w:sz="0" w:space="0" w:color="auto"/>
      </w:divBdr>
    </w:div>
    <w:div w:id="1174611398">
      <w:bodyDiv w:val="1"/>
      <w:marLeft w:val="0"/>
      <w:marRight w:val="0"/>
      <w:marTop w:val="0"/>
      <w:marBottom w:val="0"/>
      <w:divBdr>
        <w:top w:val="none" w:sz="0" w:space="0" w:color="auto"/>
        <w:left w:val="none" w:sz="0" w:space="0" w:color="auto"/>
        <w:bottom w:val="none" w:sz="0" w:space="0" w:color="auto"/>
        <w:right w:val="none" w:sz="0" w:space="0" w:color="auto"/>
      </w:divBdr>
    </w:div>
    <w:div w:id="1175027422">
      <w:bodyDiv w:val="1"/>
      <w:marLeft w:val="0"/>
      <w:marRight w:val="0"/>
      <w:marTop w:val="0"/>
      <w:marBottom w:val="0"/>
      <w:divBdr>
        <w:top w:val="none" w:sz="0" w:space="0" w:color="auto"/>
        <w:left w:val="none" w:sz="0" w:space="0" w:color="auto"/>
        <w:bottom w:val="none" w:sz="0" w:space="0" w:color="auto"/>
        <w:right w:val="none" w:sz="0" w:space="0" w:color="auto"/>
      </w:divBdr>
    </w:div>
    <w:div w:id="1237089975">
      <w:bodyDiv w:val="1"/>
      <w:marLeft w:val="0"/>
      <w:marRight w:val="0"/>
      <w:marTop w:val="0"/>
      <w:marBottom w:val="0"/>
      <w:divBdr>
        <w:top w:val="none" w:sz="0" w:space="0" w:color="auto"/>
        <w:left w:val="none" w:sz="0" w:space="0" w:color="auto"/>
        <w:bottom w:val="none" w:sz="0" w:space="0" w:color="auto"/>
        <w:right w:val="none" w:sz="0" w:space="0" w:color="auto"/>
      </w:divBdr>
    </w:div>
    <w:div w:id="1239945803">
      <w:bodyDiv w:val="1"/>
      <w:marLeft w:val="0"/>
      <w:marRight w:val="0"/>
      <w:marTop w:val="0"/>
      <w:marBottom w:val="0"/>
      <w:divBdr>
        <w:top w:val="none" w:sz="0" w:space="0" w:color="auto"/>
        <w:left w:val="none" w:sz="0" w:space="0" w:color="auto"/>
        <w:bottom w:val="none" w:sz="0" w:space="0" w:color="auto"/>
        <w:right w:val="none" w:sz="0" w:space="0" w:color="auto"/>
      </w:divBdr>
    </w:div>
    <w:div w:id="1243878608">
      <w:bodyDiv w:val="1"/>
      <w:marLeft w:val="0"/>
      <w:marRight w:val="0"/>
      <w:marTop w:val="0"/>
      <w:marBottom w:val="0"/>
      <w:divBdr>
        <w:top w:val="none" w:sz="0" w:space="0" w:color="auto"/>
        <w:left w:val="none" w:sz="0" w:space="0" w:color="auto"/>
        <w:bottom w:val="none" w:sz="0" w:space="0" w:color="auto"/>
        <w:right w:val="none" w:sz="0" w:space="0" w:color="auto"/>
      </w:divBdr>
    </w:div>
    <w:div w:id="1277905195">
      <w:bodyDiv w:val="1"/>
      <w:marLeft w:val="0"/>
      <w:marRight w:val="0"/>
      <w:marTop w:val="0"/>
      <w:marBottom w:val="0"/>
      <w:divBdr>
        <w:top w:val="none" w:sz="0" w:space="0" w:color="auto"/>
        <w:left w:val="none" w:sz="0" w:space="0" w:color="auto"/>
        <w:bottom w:val="none" w:sz="0" w:space="0" w:color="auto"/>
        <w:right w:val="none" w:sz="0" w:space="0" w:color="auto"/>
      </w:divBdr>
    </w:div>
    <w:div w:id="1279332418">
      <w:bodyDiv w:val="1"/>
      <w:marLeft w:val="0"/>
      <w:marRight w:val="0"/>
      <w:marTop w:val="0"/>
      <w:marBottom w:val="0"/>
      <w:divBdr>
        <w:top w:val="none" w:sz="0" w:space="0" w:color="auto"/>
        <w:left w:val="none" w:sz="0" w:space="0" w:color="auto"/>
        <w:bottom w:val="none" w:sz="0" w:space="0" w:color="auto"/>
        <w:right w:val="none" w:sz="0" w:space="0" w:color="auto"/>
      </w:divBdr>
    </w:div>
    <w:div w:id="1300497213">
      <w:bodyDiv w:val="1"/>
      <w:marLeft w:val="0"/>
      <w:marRight w:val="0"/>
      <w:marTop w:val="0"/>
      <w:marBottom w:val="0"/>
      <w:divBdr>
        <w:top w:val="none" w:sz="0" w:space="0" w:color="auto"/>
        <w:left w:val="none" w:sz="0" w:space="0" w:color="auto"/>
        <w:bottom w:val="none" w:sz="0" w:space="0" w:color="auto"/>
        <w:right w:val="none" w:sz="0" w:space="0" w:color="auto"/>
      </w:divBdr>
    </w:div>
    <w:div w:id="1368994328">
      <w:bodyDiv w:val="1"/>
      <w:marLeft w:val="0"/>
      <w:marRight w:val="0"/>
      <w:marTop w:val="0"/>
      <w:marBottom w:val="0"/>
      <w:divBdr>
        <w:top w:val="none" w:sz="0" w:space="0" w:color="auto"/>
        <w:left w:val="none" w:sz="0" w:space="0" w:color="auto"/>
        <w:bottom w:val="none" w:sz="0" w:space="0" w:color="auto"/>
        <w:right w:val="none" w:sz="0" w:space="0" w:color="auto"/>
      </w:divBdr>
    </w:div>
    <w:div w:id="1465658690">
      <w:bodyDiv w:val="1"/>
      <w:marLeft w:val="0"/>
      <w:marRight w:val="0"/>
      <w:marTop w:val="0"/>
      <w:marBottom w:val="0"/>
      <w:divBdr>
        <w:top w:val="none" w:sz="0" w:space="0" w:color="auto"/>
        <w:left w:val="none" w:sz="0" w:space="0" w:color="auto"/>
        <w:bottom w:val="none" w:sz="0" w:space="0" w:color="auto"/>
        <w:right w:val="none" w:sz="0" w:space="0" w:color="auto"/>
      </w:divBdr>
    </w:div>
    <w:div w:id="1534924547">
      <w:bodyDiv w:val="1"/>
      <w:marLeft w:val="0"/>
      <w:marRight w:val="0"/>
      <w:marTop w:val="0"/>
      <w:marBottom w:val="0"/>
      <w:divBdr>
        <w:top w:val="none" w:sz="0" w:space="0" w:color="auto"/>
        <w:left w:val="none" w:sz="0" w:space="0" w:color="auto"/>
        <w:bottom w:val="none" w:sz="0" w:space="0" w:color="auto"/>
        <w:right w:val="none" w:sz="0" w:space="0" w:color="auto"/>
      </w:divBdr>
    </w:div>
    <w:div w:id="1578248067">
      <w:bodyDiv w:val="1"/>
      <w:marLeft w:val="0"/>
      <w:marRight w:val="0"/>
      <w:marTop w:val="0"/>
      <w:marBottom w:val="0"/>
      <w:divBdr>
        <w:top w:val="none" w:sz="0" w:space="0" w:color="auto"/>
        <w:left w:val="none" w:sz="0" w:space="0" w:color="auto"/>
        <w:bottom w:val="none" w:sz="0" w:space="0" w:color="auto"/>
        <w:right w:val="none" w:sz="0" w:space="0" w:color="auto"/>
      </w:divBdr>
    </w:div>
    <w:div w:id="1635327675">
      <w:bodyDiv w:val="1"/>
      <w:marLeft w:val="0"/>
      <w:marRight w:val="0"/>
      <w:marTop w:val="0"/>
      <w:marBottom w:val="0"/>
      <w:divBdr>
        <w:top w:val="none" w:sz="0" w:space="0" w:color="auto"/>
        <w:left w:val="none" w:sz="0" w:space="0" w:color="auto"/>
        <w:bottom w:val="none" w:sz="0" w:space="0" w:color="auto"/>
        <w:right w:val="none" w:sz="0" w:space="0" w:color="auto"/>
      </w:divBdr>
    </w:div>
    <w:div w:id="1771318813">
      <w:bodyDiv w:val="1"/>
      <w:marLeft w:val="0"/>
      <w:marRight w:val="0"/>
      <w:marTop w:val="0"/>
      <w:marBottom w:val="0"/>
      <w:divBdr>
        <w:top w:val="none" w:sz="0" w:space="0" w:color="auto"/>
        <w:left w:val="none" w:sz="0" w:space="0" w:color="auto"/>
        <w:bottom w:val="none" w:sz="0" w:space="0" w:color="auto"/>
        <w:right w:val="none" w:sz="0" w:space="0" w:color="auto"/>
      </w:divBdr>
    </w:div>
    <w:div w:id="1795442282">
      <w:bodyDiv w:val="1"/>
      <w:marLeft w:val="0"/>
      <w:marRight w:val="0"/>
      <w:marTop w:val="0"/>
      <w:marBottom w:val="0"/>
      <w:divBdr>
        <w:top w:val="none" w:sz="0" w:space="0" w:color="auto"/>
        <w:left w:val="none" w:sz="0" w:space="0" w:color="auto"/>
        <w:bottom w:val="none" w:sz="0" w:space="0" w:color="auto"/>
        <w:right w:val="none" w:sz="0" w:space="0" w:color="auto"/>
      </w:divBdr>
    </w:div>
    <w:div w:id="1832987379">
      <w:bodyDiv w:val="1"/>
      <w:marLeft w:val="0"/>
      <w:marRight w:val="0"/>
      <w:marTop w:val="0"/>
      <w:marBottom w:val="0"/>
      <w:divBdr>
        <w:top w:val="none" w:sz="0" w:space="0" w:color="auto"/>
        <w:left w:val="none" w:sz="0" w:space="0" w:color="auto"/>
        <w:bottom w:val="none" w:sz="0" w:space="0" w:color="auto"/>
        <w:right w:val="none" w:sz="0" w:space="0" w:color="auto"/>
      </w:divBdr>
    </w:div>
    <w:div w:id="202697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gif@01C83D6C.967E96E0"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B6F6A-7A6D-44B7-A08C-DD1EC578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28</Pages>
  <Words>12113</Words>
  <Characters>71473</Characters>
  <Application>Microsoft Office Word</Application>
  <DocSecurity>0</DocSecurity>
  <Lines>595</Lines>
  <Paragraphs>166</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83420</CharactersWithSpaces>
  <SharedDoc>false</SharedDoc>
  <HLinks>
    <vt:vector size="264" baseType="variant">
      <vt:variant>
        <vt:i4>1114163</vt:i4>
      </vt:variant>
      <vt:variant>
        <vt:i4>263</vt:i4>
      </vt:variant>
      <vt:variant>
        <vt:i4>0</vt:i4>
      </vt:variant>
      <vt:variant>
        <vt:i4>5</vt:i4>
      </vt:variant>
      <vt:variant>
        <vt:lpwstr/>
      </vt:variant>
      <vt:variant>
        <vt:lpwstr>_Toc385875238</vt:lpwstr>
      </vt:variant>
      <vt:variant>
        <vt:i4>1114163</vt:i4>
      </vt:variant>
      <vt:variant>
        <vt:i4>257</vt:i4>
      </vt:variant>
      <vt:variant>
        <vt:i4>0</vt:i4>
      </vt:variant>
      <vt:variant>
        <vt:i4>5</vt:i4>
      </vt:variant>
      <vt:variant>
        <vt:lpwstr/>
      </vt:variant>
      <vt:variant>
        <vt:lpwstr>_Toc385875237</vt:lpwstr>
      </vt:variant>
      <vt:variant>
        <vt:i4>1114163</vt:i4>
      </vt:variant>
      <vt:variant>
        <vt:i4>251</vt:i4>
      </vt:variant>
      <vt:variant>
        <vt:i4>0</vt:i4>
      </vt:variant>
      <vt:variant>
        <vt:i4>5</vt:i4>
      </vt:variant>
      <vt:variant>
        <vt:lpwstr/>
      </vt:variant>
      <vt:variant>
        <vt:lpwstr>_Toc385875236</vt:lpwstr>
      </vt:variant>
      <vt:variant>
        <vt:i4>1114163</vt:i4>
      </vt:variant>
      <vt:variant>
        <vt:i4>245</vt:i4>
      </vt:variant>
      <vt:variant>
        <vt:i4>0</vt:i4>
      </vt:variant>
      <vt:variant>
        <vt:i4>5</vt:i4>
      </vt:variant>
      <vt:variant>
        <vt:lpwstr/>
      </vt:variant>
      <vt:variant>
        <vt:lpwstr>_Toc385875235</vt:lpwstr>
      </vt:variant>
      <vt:variant>
        <vt:i4>1114163</vt:i4>
      </vt:variant>
      <vt:variant>
        <vt:i4>239</vt:i4>
      </vt:variant>
      <vt:variant>
        <vt:i4>0</vt:i4>
      </vt:variant>
      <vt:variant>
        <vt:i4>5</vt:i4>
      </vt:variant>
      <vt:variant>
        <vt:lpwstr/>
      </vt:variant>
      <vt:variant>
        <vt:lpwstr>_Toc385875234</vt:lpwstr>
      </vt:variant>
      <vt:variant>
        <vt:i4>1114163</vt:i4>
      </vt:variant>
      <vt:variant>
        <vt:i4>233</vt:i4>
      </vt:variant>
      <vt:variant>
        <vt:i4>0</vt:i4>
      </vt:variant>
      <vt:variant>
        <vt:i4>5</vt:i4>
      </vt:variant>
      <vt:variant>
        <vt:lpwstr/>
      </vt:variant>
      <vt:variant>
        <vt:lpwstr>_Toc385875233</vt:lpwstr>
      </vt:variant>
      <vt:variant>
        <vt:i4>1114163</vt:i4>
      </vt:variant>
      <vt:variant>
        <vt:i4>227</vt:i4>
      </vt:variant>
      <vt:variant>
        <vt:i4>0</vt:i4>
      </vt:variant>
      <vt:variant>
        <vt:i4>5</vt:i4>
      </vt:variant>
      <vt:variant>
        <vt:lpwstr/>
      </vt:variant>
      <vt:variant>
        <vt:lpwstr>_Toc385875232</vt:lpwstr>
      </vt:variant>
      <vt:variant>
        <vt:i4>1114163</vt:i4>
      </vt:variant>
      <vt:variant>
        <vt:i4>221</vt:i4>
      </vt:variant>
      <vt:variant>
        <vt:i4>0</vt:i4>
      </vt:variant>
      <vt:variant>
        <vt:i4>5</vt:i4>
      </vt:variant>
      <vt:variant>
        <vt:lpwstr/>
      </vt:variant>
      <vt:variant>
        <vt:lpwstr>_Toc385875231</vt:lpwstr>
      </vt:variant>
      <vt:variant>
        <vt:i4>1114163</vt:i4>
      </vt:variant>
      <vt:variant>
        <vt:i4>215</vt:i4>
      </vt:variant>
      <vt:variant>
        <vt:i4>0</vt:i4>
      </vt:variant>
      <vt:variant>
        <vt:i4>5</vt:i4>
      </vt:variant>
      <vt:variant>
        <vt:lpwstr/>
      </vt:variant>
      <vt:variant>
        <vt:lpwstr>_Toc385875230</vt:lpwstr>
      </vt:variant>
      <vt:variant>
        <vt:i4>1048627</vt:i4>
      </vt:variant>
      <vt:variant>
        <vt:i4>209</vt:i4>
      </vt:variant>
      <vt:variant>
        <vt:i4>0</vt:i4>
      </vt:variant>
      <vt:variant>
        <vt:i4>5</vt:i4>
      </vt:variant>
      <vt:variant>
        <vt:lpwstr/>
      </vt:variant>
      <vt:variant>
        <vt:lpwstr>_Toc385875229</vt:lpwstr>
      </vt:variant>
      <vt:variant>
        <vt:i4>1048627</vt:i4>
      </vt:variant>
      <vt:variant>
        <vt:i4>203</vt:i4>
      </vt:variant>
      <vt:variant>
        <vt:i4>0</vt:i4>
      </vt:variant>
      <vt:variant>
        <vt:i4>5</vt:i4>
      </vt:variant>
      <vt:variant>
        <vt:lpwstr/>
      </vt:variant>
      <vt:variant>
        <vt:lpwstr>_Toc385875228</vt:lpwstr>
      </vt:variant>
      <vt:variant>
        <vt:i4>1048627</vt:i4>
      </vt:variant>
      <vt:variant>
        <vt:i4>197</vt:i4>
      </vt:variant>
      <vt:variant>
        <vt:i4>0</vt:i4>
      </vt:variant>
      <vt:variant>
        <vt:i4>5</vt:i4>
      </vt:variant>
      <vt:variant>
        <vt:lpwstr/>
      </vt:variant>
      <vt:variant>
        <vt:lpwstr>_Toc385875227</vt:lpwstr>
      </vt:variant>
      <vt:variant>
        <vt:i4>1048627</vt:i4>
      </vt:variant>
      <vt:variant>
        <vt:i4>191</vt:i4>
      </vt:variant>
      <vt:variant>
        <vt:i4>0</vt:i4>
      </vt:variant>
      <vt:variant>
        <vt:i4>5</vt:i4>
      </vt:variant>
      <vt:variant>
        <vt:lpwstr/>
      </vt:variant>
      <vt:variant>
        <vt:lpwstr>_Toc385875226</vt:lpwstr>
      </vt:variant>
      <vt:variant>
        <vt:i4>1048627</vt:i4>
      </vt:variant>
      <vt:variant>
        <vt:i4>185</vt:i4>
      </vt:variant>
      <vt:variant>
        <vt:i4>0</vt:i4>
      </vt:variant>
      <vt:variant>
        <vt:i4>5</vt:i4>
      </vt:variant>
      <vt:variant>
        <vt:lpwstr/>
      </vt:variant>
      <vt:variant>
        <vt:lpwstr>_Toc385875225</vt:lpwstr>
      </vt:variant>
      <vt:variant>
        <vt:i4>1048627</vt:i4>
      </vt:variant>
      <vt:variant>
        <vt:i4>179</vt:i4>
      </vt:variant>
      <vt:variant>
        <vt:i4>0</vt:i4>
      </vt:variant>
      <vt:variant>
        <vt:i4>5</vt:i4>
      </vt:variant>
      <vt:variant>
        <vt:lpwstr/>
      </vt:variant>
      <vt:variant>
        <vt:lpwstr>_Toc385875224</vt:lpwstr>
      </vt:variant>
      <vt:variant>
        <vt:i4>1048627</vt:i4>
      </vt:variant>
      <vt:variant>
        <vt:i4>173</vt:i4>
      </vt:variant>
      <vt:variant>
        <vt:i4>0</vt:i4>
      </vt:variant>
      <vt:variant>
        <vt:i4>5</vt:i4>
      </vt:variant>
      <vt:variant>
        <vt:lpwstr/>
      </vt:variant>
      <vt:variant>
        <vt:lpwstr>_Toc385875223</vt:lpwstr>
      </vt:variant>
      <vt:variant>
        <vt:i4>1048627</vt:i4>
      </vt:variant>
      <vt:variant>
        <vt:i4>167</vt:i4>
      </vt:variant>
      <vt:variant>
        <vt:i4>0</vt:i4>
      </vt:variant>
      <vt:variant>
        <vt:i4>5</vt:i4>
      </vt:variant>
      <vt:variant>
        <vt:lpwstr/>
      </vt:variant>
      <vt:variant>
        <vt:lpwstr>_Toc385875222</vt:lpwstr>
      </vt:variant>
      <vt:variant>
        <vt:i4>1048627</vt:i4>
      </vt:variant>
      <vt:variant>
        <vt:i4>161</vt:i4>
      </vt:variant>
      <vt:variant>
        <vt:i4>0</vt:i4>
      </vt:variant>
      <vt:variant>
        <vt:i4>5</vt:i4>
      </vt:variant>
      <vt:variant>
        <vt:lpwstr/>
      </vt:variant>
      <vt:variant>
        <vt:lpwstr>_Toc385875221</vt:lpwstr>
      </vt:variant>
      <vt:variant>
        <vt:i4>1048627</vt:i4>
      </vt:variant>
      <vt:variant>
        <vt:i4>155</vt:i4>
      </vt:variant>
      <vt:variant>
        <vt:i4>0</vt:i4>
      </vt:variant>
      <vt:variant>
        <vt:i4>5</vt:i4>
      </vt:variant>
      <vt:variant>
        <vt:lpwstr/>
      </vt:variant>
      <vt:variant>
        <vt:lpwstr>_Toc385875220</vt:lpwstr>
      </vt:variant>
      <vt:variant>
        <vt:i4>1245235</vt:i4>
      </vt:variant>
      <vt:variant>
        <vt:i4>149</vt:i4>
      </vt:variant>
      <vt:variant>
        <vt:i4>0</vt:i4>
      </vt:variant>
      <vt:variant>
        <vt:i4>5</vt:i4>
      </vt:variant>
      <vt:variant>
        <vt:lpwstr/>
      </vt:variant>
      <vt:variant>
        <vt:lpwstr>_Toc385875219</vt:lpwstr>
      </vt:variant>
      <vt:variant>
        <vt:i4>1245235</vt:i4>
      </vt:variant>
      <vt:variant>
        <vt:i4>143</vt:i4>
      </vt:variant>
      <vt:variant>
        <vt:i4>0</vt:i4>
      </vt:variant>
      <vt:variant>
        <vt:i4>5</vt:i4>
      </vt:variant>
      <vt:variant>
        <vt:lpwstr/>
      </vt:variant>
      <vt:variant>
        <vt:lpwstr>_Toc385875218</vt:lpwstr>
      </vt:variant>
      <vt:variant>
        <vt:i4>1245235</vt:i4>
      </vt:variant>
      <vt:variant>
        <vt:i4>137</vt:i4>
      </vt:variant>
      <vt:variant>
        <vt:i4>0</vt:i4>
      </vt:variant>
      <vt:variant>
        <vt:i4>5</vt:i4>
      </vt:variant>
      <vt:variant>
        <vt:lpwstr/>
      </vt:variant>
      <vt:variant>
        <vt:lpwstr>_Toc385875217</vt:lpwstr>
      </vt:variant>
      <vt:variant>
        <vt:i4>1245235</vt:i4>
      </vt:variant>
      <vt:variant>
        <vt:i4>131</vt:i4>
      </vt:variant>
      <vt:variant>
        <vt:i4>0</vt:i4>
      </vt:variant>
      <vt:variant>
        <vt:i4>5</vt:i4>
      </vt:variant>
      <vt:variant>
        <vt:lpwstr/>
      </vt:variant>
      <vt:variant>
        <vt:lpwstr>_Toc385875216</vt:lpwstr>
      </vt:variant>
      <vt:variant>
        <vt:i4>1245235</vt:i4>
      </vt:variant>
      <vt:variant>
        <vt:i4>125</vt:i4>
      </vt:variant>
      <vt:variant>
        <vt:i4>0</vt:i4>
      </vt:variant>
      <vt:variant>
        <vt:i4>5</vt:i4>
      </vt:variant>
      <vt:variant>
        <vt:lpwstr/>
      </vt:variant>
      <vt:variant>
        <vt:lpwstr>_Toc385875215</vt:lpwstr>
      </vt:variant>
      <vt:variant>
        <vt:i4>1245235</vt:i4>
      </vt:variant>
      <vt:variant>
        <vt:i4>119</vt:i4>
      </vt:variant>
      <vt:variant>
        <vt:i4>0</vt:i4>
      </vt:variant>
      <vt:variant>
        <vt:i4>5</vt:i4>
      </vt:variant>
      <vt:variant>
        <vt:lpwstr/>
      </vt:variant>
      <vt:variant>
        <vt:lpwstr>_Toc385875214</vt:lpwstr>
      </vt:variant>
      <vt:variant>
        <vt:i4>1245235</vt:i4>
      </vt:variant>
      <vt:variant>
        <vt:i4>113</vt:i4>
      </vt:variant>
      <vt:variant>
        <vt:i4>0</vt:i4>
      </vt:variant>
      <vt:variant>
        <vt:i4>5</vt:i4>
      </vt:variant>
      <vt:variant>
        <vt:lpwstr/>
      </vt:variant>
      <vt:variant>
        <vt:lpwstr>_Toc385875213</vt:lpwstr>
      </vt:variant>
      <vt:variant>
        <vt:i4>1245235</vt:i4>
      </vt:variant>
      <vt:variant>
        <vt:i4>107</vt:i4>
      </vt:variant>
      <vt:variant>
        <vt:i4>0</vt:i4>
      </vt:variant>
      <vt:variant>
        <vt:i4>5</vt:i4>
      </vt:variant>
      <vt:variant>
        <vt:lpwstr/>
      </vt:variant>
      <vt:variant>
        <vt:lpwstr>_Toc385875212</vt:lpwstr>
      </vt:variant>
      <vt:variant>
        <vt:i4>1245235</vt:i4>
      </vt:variant>
      <vt:variant>
        <vt:i4>101</vt:i4>
      </vt:variant>
      <vt:variant>
        <vt:i4>0</vt:i4>
      </vt:variant>
      <vt:variant>
        <vt:i4>5</vt:i4>
      </vt:variant>
      <vt:variant>
        <vt:lpwstr/>
      </vt:variant>
      <vt:variant>
        <vt:lpwstr>_Toc385875211</vt:lpwstr>
      </vt:variant>
      <vt:variant>
        <vt:i4>1245235</vt:i4>
      </vt:variant>
      <vt:variant>
        <vt:i4>95</vt:i4>
      </vt:variant>
      <vt:variant>
        <vt:i4>0</vt:i4>
      </vt:variant>
      <vt:variant>
        <vt:i4>5</vt:i4>
      </vt:variant>
      <vt:variant>
        <vt:lpwstr/>
      </vt:variant>
      <vt:variant>
        <vt:lpwstr>_Toc385875210</vt:lpwstr>
      </vt:variant>
      <vt:variant>
        <vt:i4>1179699</vt:i4>
      </vt:variant>
      <vt:variant>
        <vt:i4>89</vt:i4>
      </vt:variant>
      <vt:variant>
        <vt:i4>0</vt:i4>
      </vt:variant>
      <vt:variant>
        <vt:i4>5</vt:i4>
      </vt:variant>
      <vt:variant>
        <vt:lpwstr/>
      </vt:variant>
      <vt:variant>
        <vt:lpwstr>_Toc385875209</vt:lpwstr>
      </vt:variant>
      <vt:variant>
        <vt:i4>1179699</vt:i4>
      </vt:variant>
      <vt:variant>
        <vt:i4>83</vt:i4>
      </vt:variant>
      <vt:variant>
        <vt:i4>0</vt:i4>
      </vt:variant>
      <vt:variant>
        <vt:i4>5</vt:i4>
      </vt:variant>
      <vt:variant>
        <vt:lpwstr/>
      </vt:variant>
      <vt:variant>
        <vt:lpwstr>_Toc385875208</vt:lpwstr>
      </vt:variant>
      <vt:variant>
        <vt:i4>1179699</vt:i4>
      </vt:variant>
      <vt:variant>
        <vt:i4>77</vt:i4>
      </vt:variant>
      <vt:variant>
        <vt:i4>0</vt:i4>
      </vt:variant>
      <vt:variant>
        <vt:i4>5</vt:i4>
      </vt:variant>
      <vt:variant>
        <vt:lpwstr/>
      </vt:variant>
      <vt:variant>
        <vt:lpwstr>_Toc385875207</vt:lpwstr>
      </vt:variant>
      <vt:variant>
        <vt:i4>1179699</vt:i4>
      </vt:variant>
      <vt:variant>
        <vt:i4>71</vt:i4>
      </vt:variant>
      <vt:variant>
        <vt:i4>0</vt:i4>
      </vt:variant>
      <vt:variant>
        <vt:i4>5</vt:i4>
      </vt:variant>
      <vt:variant>
        <vt:lpwstr/>
      </vt:variant>
      <vt:variant>
        <vt:lpwstr>_Toc385875206</vt:lpwstr>
      </vt:variant>
      <vt:variant>
        <vt:i4>1179699</vt:i4>
      </vt:variant>
      <vt:variant>
        <vt:i4>65</vt:i4>
      </vt:variant>
      <vt:variant>
        <vt:i4>0</vt:i4>
      </vt:variant>
      <vt:variant>
        <vt:i4>5</vt:i4>
      </vt:variant>
      <vt:variant>
        <vt:lpwstr/>
      </vt:variant>
      <vt:variant>
        <vt:lpwstr>_Toc385875205</vt:lpwstr>
      </vt:variant>
      <vt:variant>
        <vt:i4>1179699</vt:i4>
      </vt:variant>
      <vt:variant>
        <vt:i4>59</vt:i4>
      </vt:variant>
      <vt:variant>
        <vt:i4>0</vt:i4>
      </vt:variant>
      <vt:variant>
        <vt:i4>5</vt:i4>
      </vt:variant>
      <vt:variant>
        <vt:lpwstr/>
      </vt:variant>
      <vt:variant>
        <vt:lpwstr>_Toc385875204</vt:lpwstr>
      </vt:variant>
      <vt:variant>
        <vt:i4>1179699</vt:i4>
      </vt:variant>
      <vt:variant>
        <vt:i4>53</vt:i4>
      </vt:variant>
      <vt:variant>
        <vt:i4>0</vt:i4>
      </vt:variant>
      <vt:variant>
        <vt:i4>5</vt:i4>
      </vt:variant>
      <vt:variant>
        <vt:lpwstr/>
      </vt:variant>
      <vt:variant>
        <vt:lpwstr>_Toc385875203</vt:lpwstr>
      </vt:variant>
      <vt:variant>
        <vt:i4>1179699</vt:i4>
      </vt:variant>
      <vt:variant>
        <vt:i4>47</vt:i4>
      </vt:variant>
      <vt:variant>
        <vt:i4>0</vt:i4>
      </vt:variant>
      <vt:variant>
        <vt:i4>5</vt:i4>
      </vt:variant>
      <vt:variant>
        <vt:lpwstr/>
      </vt:variant>
      <vt:variant>
        <vt:lpwstr>_Toc385875202</vt:lpwstr>
      </vt:variant>
      <vt:variant>
        <vt:i4>1179699</vt:i4>
      </vt:variant>
      <vt:variant>
        <vt:i4>41</vt:i4>
      </vt:variant>
      <vt:variant>
        <vt:i4>0</vt:i4>
      </vt:variant>
      <vt:variant>
        <vt:i4>5</vt:i4>
      </vt:variant>
      <vt:variant>
        <vt:lpwstr/>
      </vt:variant>
      <vt:variant>
        <vt:lpwstr>_Toc385875201</vt:lpwstr>
      </vt:variant>
      <vt:variant>
        <vt:i4>1179699</vt:i4>
      </vt:variant>
      <vt:variant>
        <vt:i4>35</vt:i4>
      </vt:variant>
      <vt:variant>
        <vt:i4>0</vt:i4>
      </vt:variant>
      <vt:variant>
        <vt:i4>5</vt:i4>
      </vt:variant>
      <vt:variant>
        <vt:lpwstr/>
      </vt:variant>
      <vt:variant>
        <vt:lpwstr>_Toc385875200</vt:lpwstr>
      </vt:variant>
      <vt:variant>
        <vt:i4>1769520</vt:i4>
      </vt:variant>
      <vt:variant>
        <vt:i4>29</vt:i4>
      </vt:variant>
      <vt:variant>
        <vt:i4>0</vt:i4>
      </vt:variant>
      <vt:variant>
        <vt:i4>5</vt:i4>
      </vt:variant>
      <vt:variant>
        <vt:lpwstr/>
      </vt:variant>
      <vt:variant>
        <vt:lpwstr>_Toc385875199</vt:lpwstr>
      </vt:variant>
      <vt:variant>
        <vt:i4>1769520</vt:i4>
      </vt:variant>
      <vt:variant>
        <vt:i4>23</vt:i4>
      </vt:variant>
      <vt:variant>
        <vt:i4>0</vt:i4>
      </vt:variant>
      <vt:variant>
        <vt:i4>5</vt:i4>
      </vt:variant>
      <vt:variant>
        <vt:lpwstr/>
      </vt:variant>
      <vt:variant>
        <vt:lpwstr>_Toc385875198</vt:lpwstr>
      </vt:variant>
      <vt:variant>
        <vt:i4>1769520</vt:i4>
      </vt:variant>
      <vt:variant>
        <vt:i4>17</vt:i4>
      </vt:variant>
      <vt:variant>
        <vt:i4>0</vt:i4>
      </vt:variant>
      <vt:variant>
        <vt:i4>5</vt:i4>
      </vt:variant>
      <vt:variant>
        <vt:lpwstr/>
      </vt:variant>
      <vt:variant>
        <vt:lpwstr>_Toc385875197</vt:lpwstr>
      </vt:variant>
      <vt:variant>
        <vt:i4>1769520</vt:i4>
      </vt:variant>
      <vt:variant>
        <vt:i4>11</vt:i4>
      </vt:variant>
      <vt:variant>
        <vt:i4>0</vt:i4>
      </vt:variant>
      <vt:variant>
        <vt:i4>5</vt:i4>
      </vt:variant>
      <vt:variant>
        <vt:lpwstr/>
      </vt:variant>
      <vt:variant>
        <vt:lpwstr>_Toc385875196</vt:lpwstr>
      </vt:variant>
      <vt:variant>
        <vt:i4>1769520</vt:i4>
      </vt:variant>
      <vt:variant>
        <vt:i4>5</vt:i4>
      </vt:variant>
      <vt:variant>
        <vt:i4>0</vt:i4>
      </vt:variant>
      <vt:variant>
        <vt:i4>5</vt:i4>
      </vt:variant>
      <vt:variant>
        <vt:lpwstr/>
      </vt:variant>
      <vt:variant>
        <vt:lpwstr>_Toc385875195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Zdeněk Pechar</dc:creator>
  <cp:keywords/>
  <cp:lastModifiedBy> </cp:lastModifiedBy>
  <cp:revision>68</cp:revision>
  <cp:lastPrinted>2014-04-22T12:36:00Z</cp:lastPrinted>
  <dcterms:created xsi:type="dcterms:W3CDTF">2014-04-22T05:43:00Z</dcterms:created>
  <dcterms:modified xsi:type="dcterms:W3CDTF">2014-04-22T12:38:00Z</dcterms:modified>
</cp:coreProperties>
</file>