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C2" w:rsidRPr="00BC1000" w:rsidRDefault="00F033C2" w:rsidP="0029368D">
      <w:pPr>
        <w:rPr>
          <w:rFonts w:ascii="Times New Roman" w:hAnsi="Times New Roman"/>
          <w:sz w:val="10"/>
          <w:szCs w:val="10"/>
        </w:rPr>
      </w:pPr>
    </w:p>
    <w:p w:rsidR="00540D00" w:rsidRPr="00BC1000" w:rsidRDefault="00540D00" w:rsidP="009E6F2A">
      <w:pPr>
        <w:tabs>
          <w:tab w:val="left" w:pos="7725"/>
        </w:tabs>
        <w:jc w:val="both"/>
        <w:rPr>
          <w:rFonts w:ascii="Times New Roman" w:hAnsi="Times New Roman"/>
          <w:sz w:val="24"/>
          <w:szCs w:val="24"/>
        </w:rPr>
      </w:pPr>
    </w:p>
    <w:p w:rsidR="00540D00" w:rsidRPr="00BC1000" w:rsidRDefault="00540D00" w:rsidP="009E6F2A">
      <w:pPr>
        <w:tabs>
          <w:tab w:val="left" w:pos="7725"/>
        </w:tabs>
        <w:jc w:val="both"/>
        <w:rPr>
          <w:rFonts w:ascii="Times New Roman" w:hAnsi="Times New Roman"/>
          <w:sz w:val="24"/>
          <w:szCs w:val="24"/>
        </w:rPr>
      </w:pPr>
    </w:p>
    <w:p w:rsidR="009E6F2A" w:rsidRPr="00BC1000" w:rsidRDefault="009E6F2A" w:rsidP="009E6F2A">
      <w:pPr>
        <w:tabs>
          <w:tab w:val="left" w:pos="7725"/>
        </w:tabs>
        <w:jc w:val="both"/>
        <w:rPr>
          <w:rFonts w:ascii="Times New Roman" w:hAnsi="Times New Roman"/>
          <w:sz w:val="24"/>
          <w:szCs w:val="24"/>
        </w:rPr>
      </w:pPr>
      <w:r w:rsidRPr="00BC1000">
        <w:rPr>
          <w:rFonts w:ascii="Times New Roman" w:hAnsi="Times New Roman"/>
          <w:sz w:val="24"/>
          <w:szCs w:val="24"/>
        </w:rPr>
        <w:t>Vážený pane doktore,</w:t>
      </w:r>
    </w:p>
    <w:p w:rsidR="009E6F2A" w:rsidRPr="00BC1000" w:rsidRDefault="009E6F2A" w:rsidP="009E6F2A">
      <w:pPr>
        <w:tabs>
          <w:tab w:val="left" w:pos="7725"/>
        </w:tabs>
        <w:jc w:val="both"/>
        <w:rPr>
          <w:sz w:val="24"/>
          <w:szCs w:val="24"/>
          <w:u w:val="single"/>
        </w:rPr>
      </w:pPr>
    </w:p>
    <w:p w:rsidR="000809A0" w:rsidRPr="00BC1000" w:rsidRDefault="009E6F2A" w:rsidP="009E6F2A">
      <w:pPr>
        <w:tabs>
          <w:tab w:val="left" w:pos="7725"/>
        </w:tabs>
        <w:jc w:val="both"/>
        <w:rPr>
          <w:rFonts w:ascii="Times New Roman" w:hAnsi="Times New Roman"/>
          <w:sz w:val="24"/>
          <w:szCs w:val="24"/>
        </w:rPr>
      </w:pPr>
      <w:r w:rsidRPr="00BC1000">
        <w:rPr>
          <w:rFonts w:ascii="Times New Roman" w:hAnsi="Times New Roman"/>
          <w:sz w:val="24"/>
          <w:szCs w:val="24"/>
        </w:rPr>
        <w:t xml:space="preserve">odpovídám na Vaši interpelaci vznesenou na jednání zastupitelstva dne </w:t>
      </w:r>
      <w:r w:rsidR="009066DC" w:rsidRPr="00BC1000">
        <w:rPr>
          <w:rFonts w:ascii="Times New Roman" w:hAnsi="Times New Roman"/>
          <w:sz w:val="24"/>
          <w:szCs w:val="24"/>
        </w:rPr>
        <w:t>21. 11</w:t>
      </w:r>
      <w:r w:rsidRPr="00BC1000">
        <w:rPr>
          <w:rFonts w:ascii="Times New Roman" w:hAnsi="Times New Roman"/>
          <w:sz w:val="24"/>
          <w:szCs w:val="24"/>
        </w:rPr>
        <w:t xml:space="preserve">. 2013 ve věci </w:t>
      </w:r>
      <w:r w:rsidR="00BC1000" w:rsidRPr="00BC1000">
        <w:rPr>
          <w:rFonts w:ascii="Times New Roman" w:hAnsi="Times New Roman"/>
          <w:sz w:val="24"/>
          <w:szCs w:val="24"/>
        </w:rPr>
        <w:t>hazardu</w:t>
      </w:r>
      <w:r w:rsidR="000809A0" w:rsidRPr="00BC1000">
        <w:rPr>
          <w:rFonts w:ascii="Times New Roman" w:hAnsi="Times New Roman"/>
          <w:sz w:val="24"/>
          <w:szCs w:val="24"/>
        </w:rPr>
        <w:t>.</w:t>
      </w:r>
    </w:p>
    <w:p w:rsidR="000809A0" w:rsidRPr="00BC1000" w:rsidRDefault="000809A0" w:rsidP="009E6F2A">
      <w:pPr>
        <w:tabs>
          <w:tab w:val="left" w:pos="7725"/>
        </w:tabs>
        <w:jc w:val="both"/>
        <w:rPr>
          <w:sz w:val="24"/>
          <w:szCs w:val="24"/>
          <w:u w:val="single"/>
        </w:rPr>
      </w:pPr>
    </w:p>
    <w:p w:rsidR="00BC1000" w:rsidRDefault="00BC1000" w:rsidP="00BC1000">
      <w:pPr>
        <w:tabs>
          <w:tab w:val="left" w:pos="7725"/>
        </w:tabs>
        <w:jc w:val="both"/>
        <w:rPr>
          <w:rFonts w:ascii="Times New Roman" w:hAnsi="Times New Roman"/>
          <w:bCs/>
          <w:sz w:val="24"/>
          <w:szCs w:val="24"/>
        </w:rPr>
      </w:pPr>
      <w:r>
        <w:rPr>
          <w:rFonts w:ascii="Times New Roman" w:hAnsi="Times New Roman"/>
          <w:bCs/>
          <w:sz w:val="24"/>
          <w:szCs w:val="24"/>
        </w:rPr>
        <w:t>K</w:t>
      </w:r>
      <w:r w:rsidRPr="00BC1000">
        <w:rPr>
          <w:rFonts w:ascii="Times New Roman" w:hAnsi="Times New Roman"/>
          <w:bCs/>
          <w:sz w:val="24"/>
          <w:szCs w:val="24"/>
        </w:rPr>
        <w:t> Vašim dotazům postupně sděluji následující:</w:t>
      </w:r>
    </w:p>
    <w:p w:rsidR="00BC1000" w:rsidRPr="00BC1000" w:rsidRDefault="00BC1000" w:rsidP="00BC1000">
      <w:pPr>
        <w:tabs>
          <w:tab w:val="left" w:pos="7725"/>
        </w:tabs>
        <w:jc w:val="both"/>
        <w:rPr>
          <w:rFonts w:ascii="Times New Roman" w:hAnsi="Times New Roman"/>
          <w:bCs/>
          <w:sz w:val="24"/>
          <w:szCs w:val="24"/>
        </w:rPr>
      </w:pPr>
    </w:p>
    <w:p w:rsidR="00BC1000" w:rsidRDefault="00A06D92" w:rsidP="00BC1000">
      <w:pPr>
        <w:numPr>
          <w:ilvl w:val="0"/>
          <w:numId w:val="16"/>
        </w:numPr>
        <w:tabs>
          <w:tab w:val="left" w:pos="7725"/>
        </w:tabs>
        <w:jc w:val="both"/>
        <w:rPr>
          <w:rFonts w:ascii="Times New Roman" w:hAnsi="Times New Roman"/>
          <w:bCs/>
          <w:sz w:val="24"/>
          <w:szCs w:val="24"/>
        </w:rPr>
      </w:pPr>
      <w:r>
        <w:rPr>
          <w:rFonts w:ascii="Times New Roman" w:hAnsi="Times New Roman"/>
          <w:bCs/>
          <w:sz w:val="24"/>
          <w:szCs w:val="24"/>
        </w:rPr>
        <w:t xml:space="preserve">Tento </w:t>
      </w:r>
      <w:r w:rsidRPr="00A06D92">
        <w:rPr>
          <w:rFonts w:ascii="Times New Roman" w:hAnsi="Times New Roman"/>
          <w:bCs/>
          <w:sz w:val="24"/>
          <w:szCs w:val="24"/>
        </w:rPr>
        <w:t>Váš dotaz shledávám v zásadě jako ne úplně logický.</w:t>
      </w:r>
      <w:r>
        <w:rPr>
          <w:rFonts w:ascii="Times New Roman" w:hAnsi="Times New Roman"/>
          <w:bCs/>
          <w:sz w:val="24"/>
          <w:szCs w:val="24"/>
        </w:rPr>
        <w:t xml:space="preserve"> </w:t>
      </w:r>
      <w:r w:rsidR="00BC1000" w:rsidRPr="00BC1000">
        <w:rPr>
          <w:rFonts w:ascii="Times New Roman" w:hAnsi="Times New Roman"/>
          <w:bCs/>
          <w:sz w:val="24"/>
          <w:szCs w:val="24"/>
        </w:rPr>
        <w:t>Již v minulosti jsem Vám sdělil, že návrh Městské části Praha 5, aby do OZV hlavního města Prahy regulující provoz loterií byla zařazena všechny kasina, je právě obranou proti těmto soudním sporům. V současné chvíli nemám informace, že by byly vedeny nějaké soudní spory s provozovateli kasin. Na margo toho jen dodávám, že to ani není právně možné, neboť OZV nabyla teprve nedávno účinnosti a odebírání povolení k provozování loterií je předmětem správních řízení a teprve až po vyčerpání procesních prostředků ve správním řízení se provozovatelé loterií mohou obrátit na správní soudnictví. V danou chvíli také probíhá posouzení ze strany Ministerstva vnitra, zda je OZV v souladu s ústavním pořádkem České republiky. Konečně bych Vás rád upozornil, že samotný průběh správních řízení je věcí přenesené působnosti, tedy státní správy, a proto do něj nemíním jakkoliv zasahovat. Vám jako představiteli samosprávy doporučuji totéž.</w:t>
      </w:r>
    </w:p>
    <w:p w:rsidR="00BC1000" w:rsidRPr="00BC1000" w:rsidRDefault="00BC1000" w:rsidP="00BC1000">
      <w:pPr>
        <w:tabs>
          <w:tab w:val="left" w:pos="7725"/>
        </w:tabs>
        <w:ind w:left="720"/>
        <w:jc w:val="both"/>
        <w:rPr>
          <w:rFonts w:ascii="Times New Roman" w:hAnsi="Times New Roman"/>
          <w:bCs/>
          <w:sz w:val="24"/>
          <w:szCs w:val="24"/>
        </w:rPr>
      </w:pPr>
    </w:p>
    <w:p w:rsidR="00BC1000" w:rsidRPr="00BC1000" w:rsidRDefault="00BC1000" w:rsidP="00BC1000">
      <w:pPr>
        <w:numPr>
          <w:ilvl w:val="0"/>
          <w:numId w:val="16"/>
        </w:numPr>
        <w:tabs>
          <w:tab w:val="left" w:pos="7725"/>
        </w:tabs>
        <w:jc w:val="both"/>
        <w:rPr>
          <w:rFonts w:ascii="Times New Roman" w:hAnsi="Times New Roman"/>
          <w:bCs/>
          <w:sz w:val="24"/>
          <w:szCs w:val="24"/>
        </w:rPr>
      </w:pPr>
      <w:r w:rsidRPr="00BC1000">
        <w:rPr>
          <w:rFonts w:ascii="Times New Roman" w:hAnsi="Times New Roman"/>
          <w:bCs/>
          <w:sz w:val="24"/>
          <w:szCs w:val="24"/>
        </w:rPr>
        <w:t>Kriteria porušena nebyla. Tomu ostatně přisvědčilo hlavní město Praha tím, že návrh RMČ P5 akceptovalo a vtělilo ho do OZV. Navíc po konzultaci s MHMP jsem si empiricky ověřil, že definice místa (viz také Vámi uváděný bod 2e „</w:t>
      </w:r>
      <w:r w:rsidRPr="00BC1000">
        <w:rPr>
          <w:rFonts w:ascii="Times New Roman" w:hAnsi="Times New Roman"/>
          <w:bCs/>
          <w:i/>
          <w:sz w:val="24"/>
          <w:szCs w:val="24"/>
        </w:rPr>
        <w:t>Pravidel pro výběr míst, kde je možné provozovat loterie</w:t>
      </w:r>
      <w:r w:rsidRPr="00BC1000">
        <w:rPr>
          <w:rFonts w:ascii="Times New Roman" w:hAnsi="Times New Roman"/>
          <w:bCs/>
          <w:sz w:val="24"/>
          <w:szCs w:val="24"/>
        </w:rPr>
        <w:t>“) je plně v gesci uvážení RMČ P5 co do definice pojmu blízkosti. Bylo totiž otázkou, jak interpretovat „</w:t>
      </w:r>
      <w:r w:rsidRPr="00BC1000">
        <w:rPr>
          <w:rFonts w:ascii="Times New Roman" w:hAnsi="Times New Roman"/>
          <w:bCs/>
          <w:i/>
          <w:sz w:val="24"/>
          <w:szCs w:val="24"/>
        </w:rPr>
        <w:t>místo se nenachází v blízkosti</w:t>
      </w:r>
      <w:r w:rsidRPr="00BC1000">
        <w:rPr>
          <w:rFonts w:ascii="Times New Roman" w:hAnsi="Times New Roman"/>
          <w:bCs/>
          <w:sz w:val="24"/>
          <w:szCs w:val="24"/>
        </w:rPr>
        <w:t xml:space="preserve">“. </w:t>
      </w:r>
      <w:r w:rsidRPr="00BC1000">
        <w:rPr>
          <w:rFonts w:ascii="Times New Roman" w:hAnsi="Times New Roman"/>
          <w:sz w:val="24"/>
          <w:szCs w:val="24"/>
        </w:rPr>
        <w:t xml:space="preserve">K Vaší námitce uvádím, že definice pojmu blízkost byla ponechána zcela v kompetenci každé městské části, jelikož právě znalost místních podmínek, </w:t>
      </w:r>
      <w:r>
        <w:rPr>
          <w:rFonts w:ascii="Times New Roman" w:hAnsi="Times New Roman"/>
          <w:sz w:val="24"/>
          <w:szCs w:val="24"/>
        </w:rPr>
        <w:br/>
      </w:r>
      <w:r w:rsidRPr="00BC1000">
        <w:rPr>
          <w:rFonts w:ascii="Times New Roman" w:hAnsi="Times New Roman"/>
          <w:sz w:val="24"/>
          <w:szCs w:val="24"/>
        </w:rPr>
        <w:t xml:space="preserve">ale i volba regulace (např. výběrem pouze kasin), byly klíčovým hlediskem pro výběr míst. Městská část Praha 5 původním usnesením ze dne 4. 6. 2013 navrhla zařadit do vyhlášky pouze některá kasina nacházející se na jejím území, avšak z důvodu rovného přístupu k provozovatelům loterií, resp. k provozovatelům kasin, následně rozhodla svým novým usnesením ze dne 11. 6. 2013 zařadit do nové vyhlášky všechna místa, na kterých se nacházela kasina, resp. místa, na která byla Ministerstvem financí povolena hra v kasinech, což znamená, že z důvodu „blízkosti“ nedošlo k nezařazení </w:t>
      </w:r>
      <w:r w:rsidRPr="00BC1000">
        <w:rPr>
          <w:rFonts w:ascii="Times New Roman" w:hAnsi="Times New Roman"/>
          <w:sz w:val="24"/>
          <w:szCs w:val="24"/>
        </w:rPr>
        <w:lastRenderedPageBreak/>
        <w:t>žádného místa. Výběr míst je tak jednoznačně objektivně ospravedlnitelný a není výrazem libovůle, nepředstavuje tak porušení principu rovnosti. Jinak řečeno, nemáte pravdu.</w:t>
      </w:r>
    </w:p>
    <w:p w:rsidR="00BC1000" w:rsidRPr="00BC1000" w:rsidRDefault="00BC1000" w:rsidP="00BC1000">
      <w:pPr>
        <w:tabs>
          <w:tab w:val="left" w:pos="7725"/>
        </w:tabs>
        <w:jc w:val="both"/>
        <w:rPr>
          <w:rFonts w:ascii="Times New Roman" w:hAnsi="Times New Roman"/>
          <w:bCs/>
          <w:sz w:val="24"/>
          <w:szCs w:val="24"/>
        </w:rPr>
      </w:pPr>
    </w:p>
    <w:p w:rsidR="00BC1000" w:rsidRPr="00BC1000" w:rsidRDefault="00BC1000" w:rsidP="00BC1000">
      <w:pPr>
        <w:numPr>
          <w:ilvl w:val="0"/>
          <w:numId w:val="16"/>
        </w:numPr>
        <w:tabs>
          <w:tab w:val="left" w:pos="7725"/>
        </w:tabs>
        <w:jc w:val="both"/>
        <w:rPr>
          <w:rFonts w:ascii="Times New Roman" w:hAnsi="Times New Roman"/>
          <w:bCs/>
          <w:sz w:val="24"/>
          <w:szCs w:val="24"/>
        </w:rPr>
      </w:pPr>
      <w:r w:rsidRPr="00BC1000">
        <w:rPr>
          <w:rFonts w:ascii="Times New Roman" w:hAnsi="Times New Roman"/>
          <w:sz w:val="24"/>
          <w:szCs w:val="24"/>
        </w:rPr>
        <w:t>Opět musím konstatovat, že Vaše otázka je v zásadě nesmyslná. Jednak jsem Vám v rámci předchozího bodu zevrubně vysvětlil, že se zcela mýlíte, za druhé čistě logicky, k čemu by byla revokace, když už je OZV schválená hlavním městem Prahou? Nevím, jestli se jedná o Váš omyl nebo o záměr vytvářet virtuální vědomí, nicméně Městská část Praha 5 v celém procesu sehrála pouze roli doporučující, deklaratorní. Za konečné znění OZV odpovídá hlavní město Praha.</w:t>
      </w:r>
    </w:p>
    <w:p w:rsidR="00BC1000" w:rsidRDefault="00BC1000" w:rsidP="00BC1000">
      <w:pPr>
        <w:pStyle w:val="Odstavecseseznamem"/>
        <w:rPr>
          <w:rFonts w:ascii="Times New Roman" w:hAnsi="Times New Roman"/>
          <w:bCs/>
          <w:sz w:val="24"/>
          <w:szCs w:val="24"/>
        </w:rPr>
      </w:pPr>
    </w:p>
    <w:p w:rsidR="00BC1000" w:rsidRPr="00BC1000" w:rsidRDefault="00BC1000" w:rsidP="00BC1000">
      <w:pPr>
        <w:tabs>
          <w:tab w:val="left" w:pos="7725"/>
        </w:tabs>
        <w:jc w:val="both"/>
        <w:rPr>
          <w:rFonts w:ascii="Times New Roman" w:hAnsi="Times New Roman"/>
          <w:bCs/>
          <w:sz w:val="24"/>
          <w:szCs w:val="24"/>
        </w:rPr>
      </w:pPr>
    </w:p>
    <w:p w:rsidR="00BC1000" w:rsidRPr="00BC1000" w:rsidRDefault="00BC1000" w:rsidP="00BC1000">
      <w:pPr>
        <w:numPr>
          <w:ilvl w:val="0"/>
          <w:numId w:val="16"/>
        </w:numPr>
        <w:tabs>
          <w:tab w:val="left" w:pos="7725"/>
        </w:tabs>
        <w:jc w:val="both"/>
        <w:rPr>
          <w:rFonts w:ascii="Times New Roman" w:hAnsi="Times New Roman"/>
          <w:bCs/>
          <w:sz w:val="24"/>
          <w:szCs w:val="24"/>
        </w:rPr>
      </w:pPr>
      <w:r w:rsidRPr="00BC1000">
        <w:rPr>
          <w:rFonts w:ascii="Times New Roman" w:hAnsi="Times New Roman"/>
          <w:sz w:val="24"/>
          <w:szCs w:val="24"/>
        </w:rPr>
        <w:t>Otázka provozovny na adrese Trnkovo náměstí 1112/1 byla následně komunikována s MHMP, přičemž tento uznal svůj omyl v posouzení dané věci.  Na této adrese byla v době schvalování vyhlášky povolena sázková hra v kasinu a k 1. 1. 2013 bylo na tomto místě povoleno provozování loterií a jiných podobných her. Schválená pravidla neobsahovala kritérium, podle kterého by provozovny musely být kasiny k 1. 1. 2013.</w:t>
      </w:r>
    </w:p>
    <w:p w:rsidR="00AD3D16" w:rsidRPr="00BC1000" w:rsidRDefault="00AD3D16" w:rsidP="00AD3D16">
      <w:pPr>
        <w:tabs>
          <w:tab w:val="left" w:pos="7725"/>
        </w:tabs>
        <w:jc w:val="both"/>
        <w:rPr>
          <w:rFonts w:ascii="Times New Roman" w:hAnsi="Times New Roman"/>
          <w:sz w:val="24"/>
          <w:szCs w:val="24"/>
        </w:rPr>
      </w:pPr>
    </w:p>
    <w:p w:rsidR="009E6F2A" w:rsidRPr="00BC1000" w:rsidRDefault="009E6F2A" w:rsidP="009E6F2A">
      <w:pPr>
        <w:tabs>
          <w:tab w:val="left" w:pos="7725"/>
        </w:tabs>
        <w:jc w:val="both"/>
        <w:rPr>
          <w:rFonts w:ascii="Times New Roman" w:hAnsi="Times New Roman"/>
          <w:sz w:val="24"/>
          <w:szCs w:val="24"/>
        </w:rPr>
      </w:pPr>
    </w:p>
    <w:p w:rsidR="00540D00" w:rsidRPr="00BC1000" w:rsidRDefault="00540D00" w:rsidP="009E6F2A">
      <w:pPr>
        <w:tabs>
          <w:tab w:val="left" w:pos="7725"/>
        </w:tabs>
        <w:jc w:val="both"/>
        <w:rPr>
          <w:rFonts w:ascii="Times New Roman" w:hAnsi="Times New Roman"/>
          <w:sz w:val="24"/>
          <w:szCs w:val="24"/>
        </w:rPr>
      </w:pPr>
      <w:r w:rsidRPr="00BC1000">
        <w:rPr>
          <w:rFonts w:ascii="Times New Roman" w:hAnsi="Times New Roman"/>
          <w:sz w:val="24"/>
          <w:szCs w:val="24"/>
        </w:rPr>
        <w:t xml:space="preserve">S pozdravem </w:t>
      </w:r>
    </w:p>
    <w:p w:rsidR="00AD6D6C" w:rsidRPr="00BC1000" w:rsidRDefault="00573249" w:rsidP="00573249">
      <w:pPr>
        <w:tabs>
          <w:tab w:val="left" w:pos="7725"/>
        </w:tabs>
        <w:jc w:val="both"/>
        <w:rPr>
          <w:rFonts w:ascii="Times New Roman" w:hAnsi="Times New Roman"/>
          <w:sz w:val="24"/>
          <w:szCs w:val="24"/>
        </w:rPr>
      </w:pPr>
      <w:r w:rsidRPr="00BC1000">
        <w:rPr>
          <w:rFonts w:ascii="Times New Roman" w:hAnsi="Times New Roman"/>
          <w:sz w:val="24"/>
          <w:szCs w:val="24"/>
        </w:rPr>
        <w:tab/>
      </w:r>
    </w:p>
    <w:p w:rsidR="00F03B8F" w:rsidRPr="00BC1000" w:rsidRDefault="00F03B8F" w:rsidP="00D60F2C">
      <w:pPr>
        <w:ind w:left="6372"/>
        <w:rPr>
          <w:rFonts w:ascii="Times New Roman" w:hAnsi="Times New Roman"/>
          <w:sz w:val="24"/>
          <w:szCs w:val="24"/>
        </w:rPr>
      </w:pPr>
    </w:p>
    <w:p w:rsidR="00F03B8F" w:rsidRPr="00BC1000" w:rsidRDefault="00F03B8F" w:rsidP="00D60F2C">
      <w:pPr>
        <w:ind w:left="6372"/>
        <w:rPr>
          <w:rFonts w:ascii="Times New Roman" w:hAnsi="Times New Roman"/>
          <w:sz w:val="24"/>
          <w:szCs w:val="24"/>
        </w:rPr>
      </w:pPr>
    </w:p>
    <w:p w:rsidR="00F03B8F" w:rsidRPr="00BC1000" w:rsidRDefault="00F03B8F" w:rsidP="00D60F2C">
      <w:pPr>
        <w:ind w:left="6372"/>
        <w:rPr>
          <w:rFonts w:ascii="Times New Roman" w:hAnsi="Times New Roman"/>
          <w:sz w:val="24"/>
          <w:szCs w:val="24"/>
        </w:rPr>
      </w:pPr>
    </w:p>
    <w:p w:rsidR="00F03B8F" w:rsidRPr="00BC1000" w:rsidRDefault="00F03B8F" w:rsidP="00D60F2C">
      <w:pPr>
        <w:ind w:left="6372"/>
        <w:rPr>
          <w:rFonts w:ascii="Times New Roman" w:hAnsi="Times New Roman"/>
          <w:sz w:val="24"/>
          <w:szCs w:val="24"/>
        </w:rPr>
      </w:pPr>
    </w:p>
    <w:sectPr w:rsidR="00F03B8F" w:rsidRPr="00BC1000" w:rsidSect="00D60F2C">
      <w:footerReference w:type="default" r:id="rId7"/>
      <w:headerReference w:type="first" r:id="rId8"/>
      <w:pgSz w:w="11906" w:h="16838" w:code="9"/>
      <w:pgMar w:top="1418" w:right="1418" w:bottom="993" w:left="1418" w:header="851"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725" w:rsidRDefault="00162725">
      <w:r>
        <w:separator/>
      </w:r>
    </w:p>
  </w:endnote>
  <w:endnote w:type="continuationSeparator" w:id="0">
    <w:p w:rsidR="00162725" w:rsidRDefault="001627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A8" w:rsidRDefault="00C06E60">
    <w:pPr>
      <w:pStyle w:val="Zpat"/>
      <w:jc w:val="center"/>
    </w:pPr>
    <w:r>
      <w:fldChar w:fldCharType="begin"/>
    </w:r>
    <w:r w:rsidR="009131B8">
      <w:instrText xml:space="preserve"> PAGE   \* MERGEFORMAT </w:instrText>
    </w:r>
    <w:r>
      <w:fldChar w:fldCharType="separate"/>
    </w:r>
    <w:r w:rsidR="004D2A70">
      <w:rPr>
        <w:noProof/>
      </w:rPr>
      <w:t>2</w:t>
    </w:r>
    <w:r>
      <w:fldChar w:fldCharType="end"/>
    </w:r>
  </w:p>
  <w:p w:rsidR="00E554A8" w:rsidRDefault="00E554A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725" w:rsidRDefault="00162725">
      <w:r>
        <w:separator/>
      </w:r>
    </w:p>
  </w:footnote>
  <w:footnote w:type="continuationSeparator" w:id="0">
    <w:p w:rsidR="00162725" w:rsidRDefault="00162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17" w:rsidRDefault="008D4D17">
    <w:r>
      <w:rPr>
        <w:noProof/>
        <w:sz w:val="20"/>
      </w:rPr>
      <w:t xml:space="preserve">                                       </w:t>
    </w:r>
  </w:p>
  <w:p w:rsidR="008D4D17" w:rsidRDefault="0076770B">
    <w:r>
      <w:rPr>
        <w:noProof/>
        <w:sz w:val="20"/>
        <w:lang w:eastAsia="cs-CZ"/>
      </w:rPr>
      <w:drawing>
        <wp:anchor distT="0" distB="0" distL="114300" distR="114300" simplePos="0" relativeHeight="251657728" behindDoc="1" locked="0" layoutInCell="1" allowOverlap="1">
          <wp:simplePos x="0" y="0"/>
          <wp:positionH relativeFrom="column">
            <wp:posOffset>-47625</wp:posOffset>
          </wp:positionH>
          <wp:positionV relativeFrom="paragraph">
            <wp:posOffset>70485</wp:posOffset>
          </wp:positionV>
          <wp:extent cx="1600200" cy="800100"/>
          <wp:effectExtent l="19050" t="0" r="0" b="0"/>
          <wp:wrapTight wrapText="bothSides">
            <wp:wrapPolygon edited="0">
              <wp:start x="-257" y="0"/>
              <wp:lineTo x="-257" y="21086"/>
              <wp:lineTo x="21600" y="21086"/>
              <wp:lineTo x="21600" y="0"/>
              <wp:lineTo x="-257" y="0"/>
            </wp:wrapPolygon>
          </wp:wrapTight>
          <wp:docPr id="1" name="obrázek 1" descr="logo_P5MC_A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5MC_A_neg"/>
                  <pic:cNvPicPr>
                    <a:picLocks noChangeAspect="1" noChangeArrowheads="1"/>
                  </pic:cNvPicPr>
                </pic:nvPicPr>
                <pic:blipFill>
                  <a:blip r:embed="rId1"/>
                  <a:srcRect/>
                  <a:stretch>
                    <a:fillRect/>
                  </a:stretch>
                </pic:blipFill>
                <pic:spPr bwMode="auto">
                  <a:xfrm>
                    <a:off x="0" y="0"/>
                    <a:ext cx="1600200" cy="800100"/>
                  </a:xfrm>
                  <a:prstGeom prst="rect">
                    <a:avLst/>
                  </a:prstGeom>
                  <a:noFill/>
                </pic:spPr>
              </pic:pic>
            </a:graphicData>
          </a:graphic>
        </wp:anchor>
      </w:drawing>
    </w:r>
  </w:p>
  <w:p w:rsidR="008D4D17" w:rsidRDefault="008D4D17"/>
  <w:p w:rsidR="008D4D17" w:rsidRDefault="008D4D17"/>
  <w:p w:rsidR="008D4D17" w:rsidRDefault="007D087A" w:rsidP="007D087A">
    <w:pPr>
      <w:tabs>
        <w:tab w:val="left" w:pos="930"/>
      </w:tabs>
    </w:pPr>
    <w:r>
      <w:tab/>
    </w:r>
  </w:p>
  <w:p w:rsidR="008D4D17" w:rsidRDefault="008D4D17">
    <w:r>
      <w:t xml:space="preserve">  </w:t>
    </w:r>
  </w:p>
  <w:p w:rsidR="008D4D17" w:rsidRDefault="008D4D17">
    <w:pPr>
      <w:rPr>
        <w:caps/>
        <w:sz w:val="10"/>
      </w:rPr>
    </w:pPr>
    <w:r>
      <w:rPr>
        <w:caps/>
        <w:sz w:val="20"/>
      </w:rPr>
      <w:t xml:space="preserve">     Městská část Praha 5</w:t>
    </w:r>
    <w:r>
      <w:rPr>
        <w:caps/>
      </w:rPr>
      <w:tab/>
    </w:r>
    <w:r>
      <w:rPr>
        <w:caps/>
      </w:rPr>
      <w:tab/>
    </w:r>
    <w:r>
      <w:rPr>
        <w:caps/>
        <w:sz w:val="10"/>
      </w:rPr>
      <w:tab/>
    </w:r>
    <w:r>
      <w:rPr>
        <w:rFonts w:ascii="Marlett" w:hAnsi="Marlett"/>
        <w:sz w:val="20"/>
      </w:rPr>
      <w:t></w:t>
    </w:r>
  </w:p>
  <w:tbl>
    <w:tblPr>
      <w:tblpPr w:leftFromText="170" w:rightFromText="170" w:vertAnchor="text" w:tblpXSpec="right" w:tblpY="1"/>
      <w:tblOverlap w:val="never"/>
      <w:tblW w:w="0" w:type="auto"/>
      <w:tblBorders>
        <w:insideV w:val="single" w:sz="4" w:space="0" w:color="auto"/>
      </w:tblBorders>
      <w:tblCellMar>
        <w:left w:w="70" w:type="dxa"/>
        <w:right w:w="70" w:type="dxa"/>
      </w:tblCellMar>
      <w:tblLook w:val="0000"/>
    </w:tblPr>
    <w:tblGrid>
      <w:gridCol w:w="4822"/>
    </w:tblGrid>
    <w:tr w:rsidR="008D4D17" w:rsidRPr="00EA5249">
      <w:tc>
        <w:tcPr>
          <w:tcW w:w="4822" w:type="dxa"/>
        </w:tcPr>
        <w:p w:rsidR="008D4D17" w:rsidRPr="00EA5249" w:rsidRDefault="008D4D17">
          <w:pPr>
            <w:spacing w:line="360" w:lineRule="auto"/>
            <w:rPr>
              <w:rFonts w:ascii="Times New Roman" w:hAnsi="Times New Roman"/>
              <w:sz w:val="24"/>
              <w:szCs w:val="24"/>
            </w:rPr>
          </w:pPr>
          <w:r w:rsidRPr="00EA5249">
            <w:rPr>
              <w:rFonts w:ascii="Times New Roman" w:hAnsi="Times New Roman"/>
              <w:sz w:val="24"/>
              <w:szCs w:val="24"/>
            </w:rPr>
            <w:t>Vážený pan</w:t>
          </w:r>
        </w:p>
      </w:tc>
    </w:tr>
    <w:tr w:rsidR="008D4D17" w:rsidRPr="00EA5249">
      <w:tc>
        <w:tcPr>
          <w:tcW w:w="4822" w:type="dxa"/>
        </w:tcPr>
        <w:p w:rsidR="008D4D17" w:rsidRPr="00EA5249" w:rsidRDefault="00CE6E7C" w:rsidP="00F236E1">
          <w:pPr>
            <w:spacing w:line="360" w:lineRule="auto"/>
            <w:rPr>
              <w:rFonts w:ascii="Times New Roman" w:hAnsi="Times New Roman"/>
              <w:sz w:val="24"/>
              <w:szCs w:val="24"/>
            </w:rPr>
          </w:pPr>
          <w:r w:rsidRPr="00CE6E7C">
            <w:rPr>
              <w:rFonts w:ascii="Times New Roman" w:hAnsi="Times New Roman"/>
              <w:sz w:val="24"/>
              <w:szCs w:val="24"/>
            </w:rPr>
            <w:t>RNDr.</w:t>
          </w:r>
          <w:r w:rsidR="009E6F2A">
            <w:rPr>
              <w:rFonts w:ascii="Times New Roman" w:hAnsi="Times New Roman"/>
              <w:sz w:val="24"/>
              <w:szCs w:val="24"/>
            </w:rPr>
            <w:t xml:space="preserve"> </w:t>
          </w:r>
          <w:r w:rsidR="00CC3591">
            <w:rPr>
              <w:rFonts w:ascii="Times New Roman" w:hAnsi="Times New Roman"/>
              <w:sz w:val="24"/>
              <w:szCs w:val="24"/>
            </w:rPr>
            <w:t>Jan Martinec</w:t>
          </w:r>
          <w:r w:rsidRPr="00CE6E7C">
            <w:rPr>
              <w:rFonts w:ascii="Times New Roman" w:hAnsi="Times New Roman"/>
              <w:sz w:val="24"/>
              <w:szCs w:val="24"/>
            </w:rPr>
            <w:t xml:space="preserve"> CSc.</w:t>
          </w:r>
        </w:p>
      </w:tc>
    </w:tr>
    <w:tr w:rsidR="008D4D17" w:rsidRPr="00EA5249">
      <w:tc>
        <w:tcPr>
          <w:tcW w:w="4822" w:type="dxa"/>
        </w:tcPr>
        <w:p w:rsidR="008D4D17" w:rsidRPr="00EA5249" w:rsidRDefault="00F236E1">
          <w:pPr>
            <w:spacing w:line="360" w:lineRule="auto"/>
            <w:rPr>
              <w:rFonts w:ascii="Times New Roman" w:hAnsi="Times New Roman"/>
              <w:sz w:val="24"/>
              <w:szCs w:val="24"/>
            </w:rPr>
          </w:pPr>
          <w:r>
            <w:rPr>
              <w:rFonts w:ascii="Times New Roman" w:hAnsi="Times New Roman"/>
              <w:sz w:val="24"/>
              <w:szCs w:val="24"/>
            </w:rPr>
            <w:t>zastupitel</w:t>
          </w:r>
        </w:p>
      </w:tc>
    </w:tr>
    <w:tr w:rsidR="008D4D17" w:rsidRPr="00EA5249">
      <w:tc>
        <w:tcPr>
          <w:tcW w:w="4822" w:type="dxa"/>
        </w:tcPr>
        <w:p w:rsidR="008D4D17" w:rsidRPr="00EA5249" w:rsidRDefault="008D4D17">
          <w:pPr>
            <w:spacing w:line="360" w:lineRule="auto"/>
            <w:rPr>
              <w:rFonts w:ascii="Times New Roman" w:hAnsi="Times New Roman"/>
              <w:sz w:val="24"/>
              <w:szCs w:val="24"/>
            </w:rPr>
          </w:pPr>
          <w:r w:rsidRPr="00EA5249">
            <w:rPr>
              <w:rFonts w:ascii="Times New Roman" w:hAnsi="Times New Roman"/>
              <w:sz w:val="24"/>
              <w:szCs w:val="24"/>
            </w:rPr>
            <w:t>- zde</w:t>
          </w:r>
        </w:p>
      </w:tc>
    </w:tr>
    <w:tr w:rsidR="008D4D17" w:rsidRPr="00EA5249">
      <w:tc>
        <w:tcPr>
          <w:tcW w:w="4822" w:type="dxa"/>
        </w:tcPr>
        <w:p w:rsidR="008D4D17" w:rsidRPr="00EA5249" w:rsidRDefault="008D4D17">
          <w:pPr>
            <w:spacing w:line="360" w:lineRule="auto"/>
            <w:rPr>
              <w:rFonts w:ascii="Times New Roman" w:hAnsi="Times New Roman"/>
              <w:sz w:val="24"/>
              <w:szCs w:val="24"/>
            </w:rPr>
          </w:pPr>
        </w:p>
      </w:tc>
    </w:tr>
  </w:tbl>
  <w:p w:rsidR="008D4D17" w:rsidRDefault="008D4D17">
    <w:pPr>
      <w:rPr>
        <w:caps/>
        <w:sz w:val="20"/>
      </w:rPr>
    </w:pPr>
    <w:r>
      <w:rPr>
        <w:caps/>
        <w:sz w:val="20"/>
      </w:rPr>
      <w:t xml:space="preserve">  </w:t>
    </w:r>
    <w:r w:rsidR="00AA15C0">
      <w:rPr>
        <w:caps/>
        <w:sz w:val="20"/>
      </w:rPr>
      <w:t xml:space="preserve">     </w:t>
    </w:r>
    <w:r w:rsidR="00292F88">
      <w:rPr>
        <w:caps/>
        <w:sz w:val="20"/>
      </w:rPr>
      <w:t>ing. miroslav zelený</w:t>
    </w:r>
  </w:p>
  <w:p w:rsidR="008D4D17" w:rsidRDefault="008D4D17">
    <w:pPr>
      <w:rPr>
        <w:caps/>
        <w:sz w:val="20"/>
      </w:rPr>
    </w:pPr>
    <w:r>
      <w:rPr>
        <w:caps/>
        <w:sz w:val="20"/>
      </w:rPr>
      <w:t xml:space="preserve">                 starosta</w:t>
    </w:r>
  </w:p>
  <w:p w:rsidR="008D4D17" w:rsidRDefault="008D4D17">
    <w:pPr>
      <w:rPr>
        <w:caps/>
      </w:rPr>
    </w:pPr>
  </w:p>
  <w:p w:rsidR="008D4D17" w:rsidRDefault="008D4D17">
    <w:pPr>
      <w:rPr>
        <w:caps/>
      </w:rPr>
    </w:pPr>
    <w:r>
      <w:rPr>
        <w:caps/>
      </w:rPr>
      <w:t xml:space="preserve"> </w:t>
    </w:r>
  </w:p>
  <w:p w:rsidR="008D4D17" w:rsidRDefault="008D4D17">
    <w:pPr>
      <w:rPr>
        <w:caps/>
      </w:rPr>
    </w:pPr>
    <w:r>
      <w:rPr>
        <w:caps/>
      </w:rPr>
      <w:t xml:space="preserve">   </w:t>
    </w:r>
  </w:p>
  <w:p w:rsidR="008D4D17" w:rsidRDefault="008D4D17">
    <w:pPr>
      <w:rPr>
        <w:caps/>
      </w:rPr>
    </w:pPr>
  </w:p>
  <w:p w:rsidR="008D4D17" w:rsidRDefault="008D4D17">
    <w:pPr>
      <w:rPr>
        <w:caps/>
        <w:sz w:val="10"/>
      </w:rPr>
    </w:pPr>
  </w:p>
  <w:p w:rsidR="008D4D17" w:rsidRDefault="008D4D17">
    <w:pPr>
      <w:pStyle w:val="Zhlav"/>
      <w:tabs>
        <w:tab w:val="clear" w:pos="9072"/>
        <w:tab w:val="right" w:pos="9180"/>
      </w:tabs>
      <w:rPr>
        <w:sz w:val="20"/>
      </w:rPr>
    </w:pPr>
    <w:r>
      <w:rPr>
        <w:caps/>
      </w:rPr>
      <w:t xml:space="preserve">    </w:t>
    </w:r>
    <w:r>
      <w:rPr>
        <w:caps/>
      </w:rPr>
      <w:tab/>
    </w:r>
    <w:r>
      <w:rPr>
        <w:caps/>
      </w:rPr>
      <w:tab/>
    </w:r>
    <w:r>
      <w:rPr>
        <w:rFonts w:ascii="Marlett" w:hAnsi="Marlett"/>
        <w:sz w:val="20"/>
      </w:rPr>
      <w:t></w:t>
    </w:r>
  </w:p>
  <w:p w:rsidR="00D60F2C" w:rsidRDefault="008D4D17" w:rsidP="00F236E1">
    <w:pPr>
      <w:pStyle w:val="Zhlav"/>
      <w:tabs>
        <w:tab w:val="clear" w:pos="9072"/>
        <w:tab w:val="right" w:pos="9180"/>
      </w:tabs>
      <w:jc w:val="right"/>
      <w:rPr>
        <w:rFonts w:ascii="Times New Roman" w:hAnsi="Times New Roman"/>
      </w:rPr>
    </w:pPr>
    <w:r w:rsidRPr="00D60F2C">
      <w:rPr>
        <w:rFonts w:ascii="Times New Roman" w:hAnsi="Times New Roman"/>
      </w:rPr>
      <w:t xml:space="preserve">                                                                                                      </w:t>
    </w:r>
    <w:r w:rsidR="00D60F2C" w:rsidRPr="00D60F2C">
      <w:rPr>
        <w:rFonts w:ascii="Times New Roman" w:hAnsi="Times New Roman"/>
      </w:rPr>
      <w:t xml:space="preserve"> </w:t>
    </w:r>
    <w:r w:rsidR="00D60F2C">
      <w:rPr>
        <w:rFonts w:ascii="Times New Roman" w:hAnsi="Times New Roman"/>
      </w:rPr>
      <w:t xml:space="preserve"> </w:t>
    </w:r>
    <w:r w:rsidR="00D60F2C" w:rsidRPr="00D60F2C">
      <w:rPr>
        <w:rFonts w:ascii="Times New Roman" w:hAnsi="Times New Roman"/>
      </w:rPr>
      <w:t xml:space="preserve">                 </w:t>
    </w:r>
  </w:p>
  <w:p w:rsidR="008D4D17" w:rsidRPr="00D60F2C" w:rsidRDefault="00CC3591" w:rsidP="00F236E1">
    <w:pPr>
      <w:pStyle w:val="Zhlav"/>
      <w:tabs>
        <w:tab w:val="clear" w:pos="4536"/>
        <w:tab w:val="clear" w:pos="9072"/>
        <w:tab w:val="right" w:pos="9180"/>
      </w:tabs>
      <w:jc w:val="right"/>
      <w:rPr>
        <w:rFonts w:ascii="Times New Roman" w:hAnsi="Times New Roman"/>
      </w:rPr>
    </w:pPr>
    <w:r>
      <w:rPr>
        <w:rFonts w:ascii="Times New Roman" w:hAnsi="Times New Roman"/>
      </w:rPr>
      <w:t>Praha 1</w:t>
    </w:r>
    <w:r w:rsidR="009066DC">
      <w:rPr>
        <w:rFonts w:ascii="Times New Roman" w:hAnsi="Times New Roman"/>
      </w:rPr>
      <w:t>1</w:t>
    </w:r>
    <w:r w:rsidR="00F236E1">
      <w:rPr>
        <w:rFonts w:ascii="Times New Roman" w:hAnsi="Times New Roman"/>
      </w:rPr>
      <w:t>.</w:t>
    </w:r>
    <w:r>
      <w:rPr>
        <w:rFonts w:ascii="Times New Roman" w:hAnsi="Times New Roman"/>
      </w:rPr>
      <w:t xml:space="preserve"> 12</w:t>
    </w:r>
    <w:r w:rsidR="00FD4588">
      <w:rPr>
        <w:rFonts w:ascii="Times New Roman" w:hAnsi="Times New Roman"/>
      </w:rPr>
      <w:t>.</w:t>
    </w:r>
    <w:r w:rsidR="00F236E1">
      <w:rPr>
        <w:rFonts w:ascii="Times New Roman" w:hAnsi="Times New Roman"/>
      </w:rPr>
      <w:t xml:space="preserve"> 2013</w:t>
    </w:r>
  </w:p>
  <w:p w:rsidR="008D4D17" w:rsidRPr="00D60F2C" w:rsidRDefault="008D4D17">
    <w:pPr>
      <w:pStyle w:val="Zhlav"/>
      <w:tabs>
        <w:tab w:val="clear" w:pos="9072"/>
        <w:tab w:val="right" w:pos="9180"/>
      </w:tabs>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8C6"/>
    <w:multiLevelType w:val="hybridMultilevel"/>
    <w:tmpl w:val="2B0A7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9F0C2C"/>
    <w:multiLevelType w:val="hybridMultilevel"/>
    <w:tmpl w:val="D850F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C01838"/>
    <w:multiLevelType w:val="hybridMultilevel"/>
    <w:tmpl w:val="C574896A"/>
    <w:lvl w:ilvl="0" w:tplc="CACEE1CA">
      <w:start w:val="1"/>
      <w:numFmt w:val="lowerLetter"/>
      <w:lvlText w:val="%1)"/>
      <w:lvlJc w:val="left"/>
      <w:pPr>
        <w:ind w:left="1800" w:hanging="360"/>
      </w:pPr>
      <w:rPr>
        <w:rFonts w:hint="default"/>
        <w:b/>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28E34709"/>
    <w:multiLevelType w:val="hybridMultilevel"/>
    <w:tmpl w:val="D132EA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4B2B1A"/>
    <w:multiLevelType w:val="hybridMultilevel"/>
    <w:tmpl w:val="81D684E8"/>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
    <w:nsid w:val="3F3929BF"/>
    <w:multiLevelType w:val="hybridMultilevel"/>
    <w:tmpl w:val="94DEB3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A93241E"/>
    <w:multiLevelType w:val="hybridMultilevel"/>
    <w:tmpl w:val="85ACB6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E5257C1"/>
    <w:multiLevelType w:val="hybridMultilevel"/>
    <w:tmpl w:val="D1DECE1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32F0106"/>
    <w:multiLevelType w:val="hybridMultilevel"/>
    <w:tmpl w:val="CC8491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A094EDE"/>
    <w:multiLevelType w:val="hybridMultilevel"/>
    <w:tmpl w:val="AF96A4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5CDB7A09"/>
    <w:multiLevelType w:val="hybridMultilevel"/>
    <w:tmpl w:val="5818E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09D36A4"/>
    <w:multiLevelType w:val="hybridMultilevel"/>
    <w:tmpl w:val="CCD6D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4F42139"/>
    <w:multiLevelType w:val="hybridMultilevel"/>
    <w:tmpl w:val="8DDE20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6840746"/>
    <w:multiLevelType w:val="hybridMultilevel"/>
    <w:tmpl w:val="57943572"/>
    <w:lvl w:ilvl="0" w:tplc="EB1C16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778B4FA0"/>
    <w:multiLevelType w:val="singleLevel"/>
    <w:tmpl w:val="06E6228C"/>
    <w:lvl w:ilvl="0">
      <w:start w:val="1"/>
      <w:numFmt w:val="lowerLetter"/>
      <w:lvlText w:val="%1)"/>
      <w:legacy w:legacy="1" w:legacySpace="0" w:legacyIndent="283"/>
      <w:lvlJc w:val="left"/>
      <w:pPr>
        <w:ind w:left="1363" w:hanging="283"/>
      </w:pPr>
    </w:lvl>
  </w:abstractNum>
  <w:abstractNum w:abstractNumId="15">
    <w:nsid w:val="7B507B0E"/>
    <w:multiLevelType w:val="hybridMultilevel"/>
    <w:tmpl w:val="3796BF1A"/>
    <w:lvl w:ilvl="0" w:tplc="E7E6F4A8">
      <w:start w:val="1"/>
      <w:numFmt w:val="lowerLetter"/>
      <w:lvlText w:val="%1)"/>
      <w:lvlJc w:val="left"/>
      <w:pPr>
        <w:tabs>
          <w:tab w:val="num" w:pos="1128"/>
        </w:tabs>
        <w:ind w:left="1128"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14"/>
  </w:num>
  <w:num w:numId="2">
    <w:abstractNumId w:val="6"/>
  </w:num>
  <w:num w:numId="3">
    <w:abstractNumId w:val="15"/>
  </w:num>
  <w:num w:numId="4">
    <w:abstractNumId w:val="5"/>
  </w:num>
  <w:num w:numId="5">
    <w:abstractNumId w:val="9"/>
  </w:num>
  <w:num w:numId="6">
    <w:abstractNumId w:val="3"/>
  </w:num>
  <w:num w:numId="7">
    <w:abstractNumId w:val="4"/>
  </w:num>
  <w:num w:numId="8">
    <w:abstractNumId w:val="12"/>
  </w:num>
  <w:num w:numId="9">
    <w:abstractNumId w:val="11"/>
  </w:num>
  <w:num w:numId="10">
    <w:abstractNumId w:val="0"/>
  </w:num>
  <w:num w:numId="11">
    <w:abstractNumId w:val="13"/>
  </w:num>
  <w:num w:numId="12">
    <w:abstractNumId w:val="8"/>
  </w:num>
  <w:num w:numId="13">
    <w:abstractNumId w:val="2"/>
  </w:num>
  <w:num w:numId="14">
    <w:abstractNumId w:val="10"/>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425"/>
  <w:noPunctuationKerning/>
  <w:characterSpacingControl w:val="doNotCompress"/>
  <w:hdrShapeDefaults>
    <o:shapedefaults v:ext="edit" spidmax="74754"/>
  </w:hdrShapeDefaults>
  <w:footnotePr>
    <w:footnote w:id="-1"/>
    <w:footnote w:id="0"/>
  </w:footnotePr>
  <w:endnotePr>
    <w:endnote w:id="-1"/>
    <w:endnote w:id="0"/>
  </w:endnotePr>
  <w:compat/>
  <w:rsids>
    <w:rsidRoot w:val="00B479DD"/>
    <w:rsid w:val="00012B0A"/>
    <w:rsid w:val="000177C7"/>
    <w:rsid w:val="000248B7"/>
    <w:rsid w:val="0002741D"/>
    <w:rsid w:val="0004546F"/>
    <w:rsid w:val="0006033C"/>
    <w:rsid w:val="000647B6"/>
    <w:rsid w:val="00070131"/>
    <w:rsid w:val="0007683A"/>
    <w:rsid w:val="00076F22"/>
    <w:rsid w:val="00077D7E"/>
    <w:rsid w:val="000809A0"/>
    <w:rsid w:val="0008777D"/>
    <w:rsid w:val="00097DC4"/>
    <w:rsid w:val="000B7B3A"/>
    <w:rsid w:val="000C1800"/>
    <w:rsid w:val="000D0CDB"/>
    <w:rsid w:val="000E7851"/>
    <w:rsid w:val="000F32C5"/>
    <w:rsid w:val="000F3373"/>
    <w:rsid w:val="0010165C"/>
    <w:rsid w:val="00115603"/>
    <w:rsid w:val="00115645"/>
    <w:rsid w:val="00122A39"/>
    <w:rsid w:val="0012534E"/>
    <w:rsid w:val="001343B5"/>
    <w:rsid w:val="00141046"/>
    <w:rsid w:val="0014170E"/>
    <w:rsid w:val="00150386"/>
    <w:rsid w:val="0015466B"/>
    <w:rsid w:val="00162725"/>
    <w:rsid w:val="00166FE9"/>
    <w:rsid w:val="001708F3"/>
    <w:rsid w:val="00173170"/>
    <w:rsid w:val="00174025"/>
    <w:rsid w:val="001757CD"/>
    <w:rsid w:val="0019645E"/>
    <w:rsid w:val="001976A9"/>
    <w:rsid w:val="001B1CA3"/>
    <w:rsid w:val="001B1EBF"/>
    <w:rsid w:val="001B7148"/>
    <w:rsid w:val="001C3E1D"/>
    <w:rsid w:val="001C5C49"/>
    <w:rsid w:val="001D0EE2"/>
    <w:rsid w:val="001D3444"/>
    <w:rsid w:val="001D4FA0"/>
    <w:rsid w:val="001D638E"/>
    <w:rsid w:val="001E2FFA"/>
    <w:rsid w:val="001F0A62"/>
    <w:rsid w:val="001F50A1"/>
    <w:rsid w:val="001F7113"/>
    <w:rsid w:val="00203BDA"/>
    <w:rsid w:val="00210947"/>
    <w:rsid w:val="00223ADC"/>
    <w:rsid w:val="002346FD"/>
    <w:rsid w:val="0024096B"/>
    <w:rsid w:val="00243214"/>
    <w:rsid w:val="00246882"/>
    <w:rsid w:val="002621F5"/>
    <w:rsid w:val="00263F26"/>
    <w:rsid w:val="0026437C"/>
    <w:rsid w:val="00264F39"/>
    <w:rsid w:val="00272B84"/>
    <w:rsid w:val="00277ADD"/>
    <w:rsid w:val="002859B2"/>
    <w:rsid w:val="00285F47"/>
    <w:rsid w:val="00292F88"/>
    <w:rsid w:val="0029368D"/>
    <w:rsid w:val="00293ACC"/>
    <w:rsid w:val="00294720"/>
    <w:rsid w:val="0029754E"/>
    <w:rsid w:val="002A5314"/>
    <w:rsid w:val="002A5728"/>
    <w:rsid w:val="002B39B2"/>
    <w:rsid w:val="002C2C6B"/>
    <w:rsid w:val="002C4A54"/>
    <w:rsid w:val="002C6DF2"/>
    <w:rsid w:val="002C7189"/>
    <w:rsid w:val="002D16CA"/>
    <w:rsid w:val="002D2725"/>
    <w:rsid w:val="002D2EBC"/>
    <w:rsid w:val="002D5E17"/>
    <w:rsid w:val="002D64C3"/>
    <w:rsid w:val="002E171C"/>
    <w:rsid w:val="002E2617"/>
    <w:rsid w:val="00302439"/>
    <w:rsid w:val="00317501"/>
    <w:rsid w:val="00342495"/>
    <w:rsid w:val="003502B2"/>
    <w:rsid w:val="00360F91"/>
    <w:rsid w:val="00362418"/>
    <w:rsid w:val="00363AA1"/>
    <w:rsid w:val="00374CF4"/>
    <w:rsid w:val="00376FB4"/>
    <w:rsid w:val="00392459"/>
    <w:rsid w:val="003A0079"/>
    <w:rsid w:val="003A10BF"/>
    <w:rsid w:val="003A29AC"/>
    <w:rsid w:val="003C1EBF"/>
    <w:rsid w:val="003D017B"/>
    <w:rsid w:val="003E66DD"/>
    <w:rsid w:val="003F78DB"/>
    <w:rsid w:val="00405617"/>
    <w:rsid w:val="00405CC9"/>
    <w:rsid w:val="0041346F"/>
    <w:rsid w:val="00414F95"/>
    <w:rsid w:val="00416CBF"/>
    <w:rsid w:val="0043597A"/>
    <w:rsid w:val="00457EC3"/>
    <w:rsid w:val="00475ABD"/>
    <w:rsid w:val="004866B1"/>
    <w:rsid w:val="00492413"/>
    <w:rsid w:val="0049543C"/>
    <w:rsid w:val="0049555F"/>
    <w:rsid w:val="004A02F6"/>
    <w:rsid w:val="004A5CAD"/>
    <w:rsid w:val="004C08C6"/>
    <w:rsid w:val="004C5FDC"/>
    <w:rsid w:val="004D2A70"/>
    <w:rsid w:val="004D423B"/>
    <w:rsid w:val="004D75A2"/>
    <w:rsid w:val="004F1C4A"/>
    <w:rsid w:val="004F218C"/>
    <w:rsid w:val="004F2E21"/>
    <w:rsid w:val="004F2E76"/>
    <w:rsid w:val="00500ADC"/>
    <w:rsid w:val="00501784"/>
    <w:rsid w:val="0051273A"/>
    <w:rsid w:val="00514889"/>
    <w:rsid w:val="00530B6E"/>
    <w:rsid w:val="00531885"/>
    <w:rsid w:val="00532A14"/>
    <w:rsid w:val="00532DFA"/>
    <w:rsid w:val="00540D00"/>
    <w:rsid w:val="00547AAB"/>
    <w:rsid w:val="00552A71"/>
    <w:rsid w:val="00561347"/>
    <w:rsid w:val="005626BF"/>
    <w:rsid w:val="005724A6"/>
    <w:rsid w:val="00573249"/>
    <w:rsid w:val="00576711"/>
    <w:rsid w:val="00576FB1"/>
    <w:rsid w:val="00594D23"/>
    <w:rsid w:val="005975A0"/>
    <w:rsid w:val="0059796B"/>
    <w:rsid w:val="005B75AA"/>
    <w:rsid w:val="005C5CA0"/>
    <w:rsid w:val="005D10E7"/>
    <w:rsid w:val="005D1E40"/>
    <w:rsid w:val="005D3D86"/>
    <w:rsid w:val="005D4C86"/>
    <w:rsid w:val="005F01AA"/>
    <w:rsid w:val="005F4822"/>
    <w:rsid w:val="005F5477"/>
    <w:rsid w:val="005F568A"/>
    <w:rsid w:val="00601446"/>
    <w:rsid w:val="00607BA4"/>
    <w:rsid w:val="00613CBD"/>
    <w:rsid w:val="00617647"/>
    <w:rsid w:val="00620063"/>
    <w:rsid w:val="00622505"/>
    <w:rsid w:val="0062749F"/>
    <w:rsid w:val="00630319"/>
    <w:rsid w:val="006306DE"/>
    <w:rsid w:val="00635284"/>
    <w:rsid w:val="006361C3"/>
    <w:rsid w:val="0065752F"/>
    <w:rsid w:val="00660FD2"/>
    <w:rsid w:val="00683CB6"/>
    <w:rsid w:val="00684F7B"/>
    <w:rsid w:val="00694204"/>
    <w:rsid w:val="006C4D9E"/>
    <w:rsid w:val="006D1414"/>
    <w:rsid w:val="006D509C"/>
    <w:rsid w:val="006D733C"/>
    <w:rsid w:val="006F18A0"/>
    <w:rsid w:val="006F34F4"/>
    <w:rsid w:val="00703EC6"/>
    <w:rsid w:val="007041EB"/>
    <w:rsid w:val="007069D8"/>
    <w:rsid w:val="007164AE"/>
    <w:rsid w:val="00725D58"/>
    <w:rsid w:val="00750E9C"/>
    <w:rsid w:val="00754627"/>
    <w:rsid w:val="00760797"/>
    <w:rsid w:val="00760F76"/>
    <w:rsid w:val="00761DBE"/>
    <w:rsid w:val="00763224"/>
    <w:rsid w:val="00763DBC"/>
    <w:rsid w:val="0076770B"/>
    <w:rsid w:val="00777AA6"/>
    <w:rsid w:val="0078340D"/>
    <w:rsid w:val="00783890"/>
    <w:rsid w:val="007974F0"/>
    <w:rsid w:val="007A1122"/>
    <w:rsid w:val="007B1D55"/>
    <w:rsid w:val="007B76AF"/>
    <w:rsid w:val="007C0D8F"/>
    <w:rsid w:val="007C2809"/>
    <w:rsid w:val="007C5B41"/>
    <w:rsid w:val="007D087A"/>
    <w:rsid w:val="007D724E"/>
    <w:rsid w:val="007E0BA2"/>
    <w:rsid w:val="007E36C6"/>
    <w:rsid w:val="007E66C9"/>
    <w:rsid w:val="007F0F75"/>
    <w:rsid w:val="007F2AC7"/>
    <w:rsid w:val="007F4438"/>
    <w:rsid w:val="007F5918"/>
    <w:rsid w:val="007F6E0F"/>
    <w:rsid w:val="008015BD"/>
    <w:rsid w:val="00801DF6"/>
    <w:rsid w:val="008202B6"/>
    <w:rsid w:val="008320D1"/>
    <w:rsid w:val="008338BB"/>
    <w:rsid w:val="00833B55"/>
    <w:rsid w:val="0085023B"/>
    <w:rsid w:val="00852FC3"/>
    <w:rsid w:val="00855390"/>
    <w:rsid w:val="00860016"/>
    <w:rsid w:val="008625C7"/>
    <w:rsid w:val="008928FB"/>
    <w:rsid w:val="008C332A"/>
    <w:rsid w:val="008D4D17"/>
    <w:rsid w:val="008D7CBE"/>
    <w:rsid w:val="008E2426"/>
    <w:rsid w:val="008E6B51"/>
    <w:rsid w:val="008F187C"/>
    <w:rsid w:val="008F49E8"/>
    <w:rsid w:val="00905CD8"/>
    <w:rsid w:val="009066DC"/>
    <w:rsid w:val="009131B8"/>
    <w:rsid w:val="0091453F"/>
    <w:rsid w:val="00916085"/>
    <w:rsid w:val="009248E9"/>
    <w:rsid w:val="00931968"/>
    <w:rsid w:val="00932DF0"/>
    <w:rsid w:val="00940330"/>
    <w:rsid w:val="00947234"/>
    <w:rsid w:val="00964E06"/>
    <w:rsid w:val="00967F7D"/>
    <w:rsid w:val="00972C47"/>
    <w:rsid w:val="0097648C"/>
    <w:rsid w:val="0098133D"/>
    <w:rsid w:val="009841EE"/>
    <w:rsid w:val="009977A6"/>
    <w:rsid w:val="009A19F4"/>
    <w:rsid w:val="009A492D"/>
    <w:rsid w:val="009B263A"/>
    <w:rsid w:val="009B2922"/>
    <w:rsid w:val="009C7076"/>
    <w:rsid w:val="009D0651"/>
    <w:rsid w:val="009E4090"/>
    <w:rsid w:val="009E6F2A"/>
    <w:rsid w:val="009F16EB"/>
    <w:rsid w:val="009F57FF"/>
    <w:rsid w:val="00A06D92"/>
    <w:rsid w:val="00A23B6C"/>
    <w:rsid w:val="00A27825"/>
    <w:rsid w:val="00A43C1B"/>
    <w:rsid w:val="00A52640"/>
    <w:rsid w:val="00A641D5"/>
    <w:rsid w:val="00A70BAE"/>
    <w:rsid w:val="00A8075B"/>
    <w:rsid w:val="00A91874"/>
    <w:rsid w:val="00A93045"/>
    <w:rsid w:val="00AA0E62"/>
    <w:rsid w:val="00AA15C0"/>
    <w:rsid w:val="00AA5EEA"/>
    <w:rsid w:val="00AA6A26"/>
    <w:rsid w:val="00AD31C9"/>
    <w:rsid w:val="00AD3D16"/>
    <w:rsid w:val="00AD57B8"/>
    <w:rsid w:val="00AD6D6C"/>
    <w:rsid w:val="00AE137A"/>
    <w:rsid w:val="00AF110B"/>
    <w:rsid w:val="00B15DB5"/>
    <w:rsid w:val="00B2577C"/>
    <w:rsid w:val="00B43062"/>
    <w:rsid w:val="00B45133"/>
    <w:rsid w:val="00B45BC4"/>
    <w:rsid w:val="00B479DD"/>
    <w:rsid w:val="00B5092C"/>
    <w:rsid w:val="00B54871"/>
    <w:rsid w:val="00B60914"/>
    <w:rsid w:val="00B63ACC"/>
    <w:rsid w:val="00B72EA3"/>
    <w:rsid w:val="00B752E5"/>
    <w:rsid w:val="00B7731A"/>
    <w:rsid w:val="00B777B7"/>
    <w:rsid w:val="00B839FA"/>
    <w:rsid w:val="00B9214B"/>
    <w:rsid w:val="00BA126B"/>
    <w:rsid w:val="00BA25F9"/>
    <w:rsid w:val="00BA48F1"/>
    <w:rsid w:val="00BA4FC9"/>
    <w:rsid w:val="00BA5089"/>
    <w:rsid w:val="00BA569A"/>
    <w:rsid w:val="00BB40E5"/>
    <w:rsid w:val="00BC1000"/>
    <w:rsid w:val="00BC2E96"/>
    <w:rsid w:val="00BD28A6"/>
    <w:rsid w:val="00BE2841"/>
    <w:rsid w:val="00BE40B5"/>
    <w:rsid w:val="00C02A94"/>
    <w:rsid w:val="00C05224"/>
    <w:rsid w:val="00C06E60"/>
    <w:rsid w:val="00C124E4"/>
    <w:rsid w:val="00C1542B"/>
    <w:rsid w:val="00C16079"/>
    <w:rsid w:val="00C20760"/>
    <w:rsid w:val="00C22DC4"/>
    <w:rsid w:val="00C255D5"/>
    <w:rsid w:val="00C30613"/>
    <w:rsid w:val="00C313F1"/>
    <w:rsid w:val="00C34738"/>
    <w:rsid w:val="00C416AE"/>
    <w:rsid w:val="00C44E65"/>
    <w:rsid w:val="00C45D4C"/>
    <w:rsid w:val="00C461D8"/>
    <w:rsid w:val="00C471AB"/>
    <w:rsid w:val="00C503C2"/>
    <w:rsid w:val="00C62AD8"/>
    <w:rsid w:val="00C8019F"/>
    <w:rsid w:val="00C8082C"/>
    <w:rsid w:val="00C82B54"/>
    <w:rsid w:val="00CA703A"/>
    <w:rsid w:val="00CA79FD"/>
    <w:rsid w:val="00CB6250"/>
    <w:rsid w:val="00CB69B8"/>
    <w:rsid w:val="00CC01C5"/>
    <w:rsid w:val="00CC01EE"/>
    <w:rsid w:val="00CC3591"/>
    <w:rsid w:val="00CC5A47"/>
    <w:rsid w:val="00CD68A1"/>
    <w:rsid w:val="00CE6E7C"/>
    <w:rsid w:val="00CF05CA"/>
    <w:rsid w:val="00CF1705"/>
    <w:rsid w:val="00D07BFE"/>
    <w:rsid w:val="00D24B54"/>
    <w:rsid w:val="00D24EA7"/>
    <w:rsid w:val="00D30BED"/>
    <w:rsid w:val="00D34546"/>
    <w:rsid w:val="00D42DED"/>
    <w:rsid w:val="00D475C9"/>
    <w:rsid w:val="00D50334"/>
    <w:rsid w:val="00D53952"/>
    <w:rsid w:val="00D55EEC"/>
    <w:rsid w:val="00D6097C"/>
    <w:rsid w:val="00D60F2C"/>
    <w:rsid w:val="00D61270"/>
    <w:rsid w:val="00D72E0C"/>
    <w:rsid w:val="00D8420D"/>
    <w:rsid w:val="00D918CA"/>
    <w:rsid w:val="00D972C6"/>
    <w:rsid w:val="00DA3939"/>
    <w:rsid w:val="00DB036C"/>
    <w:rsid w:val="00DD2E17"/>
    <w:rsid w:val="00DD670D"/>
    <w:rsid w:val="00DE004D"/>
    <w:rsid w:val="00DE38F2"/>
    <w:rsid w:val="00DE4983"/>
    <w:rsid w:val="00DF056B"/>
    <w:rsid w:val="00DF2A0B"/>
    <w:rsid w:val="00DF7949"/>
    <w:rsid w:val="00E03B73"/>
    <w:rsid w:val="00E07681"/>
    <w:rsid w:val="00E07BE1"/>
    <w:rsid w:val="00E200FB"/>
    <w:rsid w:val="00E21ACA"/>
    <w:rsid w:val="00E25982"/>
    <w:rsid w:val="00E30875"/>
    <w:rsid w:val="00E51FEB"/>
    <w:rsid w:val="00E54AE1"/>
    <w:rsid w:val="00E55423"/>
    <w:rsid w:val="00E554A8"/>
    <w:rsid w:val="00E57668"/>
    <w:rsid w:val="00E6559C"/>
    <w:rsid w:val="00E67245"/>
    <w:rsid w:val="00E87BB1"/>
    <w:rsid w:val="00E96FB6"/>
    <w:rsid w:val="00EA5249"/>
    <w:rsid w:val="00EA5314"/>
    <w:rsid w:val="00EA7E15"/>
    <w:rsid w:val="00EB3315"/>
    <w:rsid w:val="00EC57A8"/>
    <w:rsid w:val="00ED114E"/>
    <w:rsid w:val="00EE344A"/>
    <w:rsid w:val="00EE7240"/>
    <w:rsid w:val="00EE7C51"/>
    <w:rsid w:val="00EF623E"/>
    <w:rsid w:val="00EF6F16"/>
    <w:rsid w:val="00EF6F9A"/>
    <w:rsid w:val="00F033C2"/>
    <w:rsid w:val="00F03B8F"/>
    <w:rsid w:val="00F05269"/>
    <w:rsid w:val="00F0592F"/>
    <w:rsid w:val="00F13038"/>
    <w:rsid w:val="00F17F21"/>
    <w:rsid w:val="00F20AC7"/>
    <w:rsid w:val="00F2278C"/>
    <w:rsid w:val="00F236E1"/>
    <w:rsid w:val="00F400FF"/>
    <w:rsid w:val="00F40B9B"/>
    <w:rsid w:val="00F44686"/>
    <w:rsid w:val="00F447F4"/>
    <w:rsid w:val="00F516AF"/>
    <w:rsid w:val="00F63192"/>
    <w:rsid w:val="00F63F53"/>
    <w:rsid w:val="00F80C36"/>
    <w:rsid w:val="00F923A4"/>
    <w:rsid w:val="00FA1CB8"/>
    <w:rsid w:val="00FC2FDA"/>
    <w:rsid w:val="00FD3A0F"/>
    <w:rsid w:val="00FD4404"/>
    <w:rsid w:val="00FD4588"/>
    <w:rsid w:val="00FD666D"/>
    <w:rsid w:val="00FE4114"/>
    <w:rsid w:val="00FE5E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30613"/>
    <w:rPr>
      <w:rFonts w:ascii="Calibri" w:eastAsia="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918CA"/>
    <w:pPr>
      <w:tabs>
        <w:tab w:val="center" w:pos="4536"/>
        <w:tab w:val="right" w:pos="9072"/>
      </w:tabs>
    </w:pPr>
  </w:style>
  <w:style w:type="paragraph" w:styleId="Zpat">
    <w:name w:val="footer"/>
    <w:basedOn w:val="Normln"/>
    <w:link w:val="ZpatChar"/>
    <w:uiPriority w:val="99"/>
    <w:rsid w:val="00D918CA"/>
    <w:pPr>
      <w:tabs>
        <w:tab w:val="center" w:pos="4536"/>
        <w:tab w:val="right" w:pos="9072"/>
      </w:tabs>
    </w:pPr>
  </w:style>
  <w:style w:type="character" w:styleId="Hypertextovodkaz">
    <w:name w:val="Hyperlink"/>
    <w:basedOn w:val="Standardnpsmoodstavce"/>
    <w:rsid w:val="00D918CA"/>
    <w:rPr>
      <w:color w:val="0000FF"/>
      <w:u w:val="single"/>
    </w:rPr>
  </w:style>
  <w:style w:type="paragraph" w:customStyle="1" w:styleId="zkltext12bloksvzan">
    <w:name w:val="zákl text 12 blok svázaný"/>
    <w:basedOn w:val="Normln"/>
    <w:rsid w:val="00DD2E17"/>
    <w:pPr>
      <w:tabs>
        <w:tab w:val="left" w:pos="0"/>
        <w:tab w:val="left" w:pos="284"/>
        <w:tab w:val="left" w:pos="1701"/>
      </w:tabs>
      <w:spacing w:before="80"/>
      <w:jc w:val="both"/>
    </w:pPr>
    <w:rPr>
      <w:szCs w:val="20"/>
    </w:rPr>
  </w:style>
  <w:style w:type="character" w:styleId="Siln">
    <w:name w:val="Strong"/>
    <w:basedOn w:val="Standardnpsmoodstavce"/>
    <w:qFormat/>
    <w:rsid w:val="00BA569A"/>
    <w:rPr>
      <w:b/>
      <w:bCs/>
    </w:rPr>
  </w:style>
  <w:style w:type="paragraph" w:styleId="Zkladntext">
    <w:name w:val="Body Text"/>
    <w:basedOn w:val="Normln"/>
    <w:rsid w:val="007041EB"/>
    <w:pPr>
      <w:ind w:right="576"/>
    </w:pPr>
  </w:style>
  <w:style w:type="paragraph" w:styleId="Odstavecseseznamem">
    <w:name w:val="List Paragraph"/>
    <w:basedOn w:val="Normln"/>
    <w:uiPriority w:val="34"/>
    <w:qFormat/>
    <w:rsid w:val="000B7B3A"/>
    <w:pPr>
      <w:ind w:left="720"/>
      <w:contextualSpacing/>
    </w:pPr>
    <w:rPr>
      <w:rFonts w:ascii="Franklin Gothic Book" w:hAnsi="Franklin Gothic Book"/>
    </w:rPr>
  </w:style>
  <w:style w:type="paragraph" w:styleId="Textbubliny">
    <w:name w:val="Balloon Text"/>
    <w:basedOn w:val="Normln"/>
    <w:link w:val="TextbublinyChar"/>
    <w:rsid w:val="00F516AF"/>
    <w:rPr>
      <w:rFonts w:ascii="Tahoma" w:hAnsi="Tahoma" w:cs="Tahoma"/>
      <w:sz w:val="16"/>
      <w:szCs w:val="16"/>
    </w:rPr>
  </w:style>
  <w:style w:type="character" w:customStyle="1" w:styleId="TextbublinyChar">
    <w:name w:val="Text bubliny Char"/>
    <w:basedOn w:val="Standardnpsmoodstavce"/>
    <w:link w:val="Textbubliny"/>
    <w:rsid w:val="00F516AF"/>
    <w:rPr>
      <w:rFonts w:ascii="Tahoma" w:hAnsi="Tahoma" w:cs="Tahoma"/>
      <w:sz w:val="16"/>
      <w:szCs w:val="16"/>
    </w:rPr>
  </w:style>
  <w:style w:type="character" w:customStyle="1" w:styleId="ZpatChar">
    <w:name w:val="Zápatí Char"/>
    <w:basedOn w:val="Standardnpsmoodstavce"/>
    <w:link w:val="Zpat"/>
    <w:uiPriority w:val="99"/>
    <w:rsid w:val="00E554A8"/>
    <w:rPr>
      <w:sz w:val="24"/>
      <w:szCs w:val="24"/>
    </w:rPr>
  </w:style>
</w:styles>
</file>

<file path=word/webSettings.xml><?xml version="1.0" encoding="utf-8"?>
<w:webSettings xmlns:r="http://schemas.openxmlformats.org/officeDocument/2006/relationships" xmlns:w="http://schemas.openxmlformats.org/wordprocessingml/2006/main">
  <w:divs>
    <w:div w:id="3553388">
      <w:bodyDiv w:val="1"/>
      <w:marLeft w:val="0"/>
      <w:marRight w:val="0"/>
      <w:marTop w:val="0"/>
      <w:marBottom w:val="0"/>
      <w:divBdr>
        <w:top w:val="none" w:sz="0" w:space="0" w:color="auto"/>
        <w:left w:val="none" w:sz="0" w:space="0" w:color="auto"/>
        <w:bottom w:val="none" w:sz="0" w:space="0" w:color="auto"/>
        <w:right w:val="none" w:sz="0" w:space="0" w:color="auto"/>
      </w:divBdr>
    </w:div>
    <w:div w:id="135685354">
      <w:bodyDiv w:val="1"/>
      <w:marLeft w:val="0"/>
      <w:marRight w:val="0"/>
      <w:marTop w:val="0"/>
      <w:marBottom w:val="0"/>
      <w:divBdr>
        <w:top w:val="none" w:sz="0" w:space="0" w:color="auto"/>
        <w:left w:val="none" w:sz="0" w:space="0" w:color="auto"/>
        <w:bottom w:val="none" w:sz="0" w:space="0" w:color="auto"/>
        <w:right w:val="none" w:sz="0" w:space="0" w:color="auto"/>
      </w:divBdr>
    </w:div>
    <w:div w:id="165293535">
      <w:bodyDiv w:val="1"/>
      <w:marLeft w:val="0"/>
      <w:marRight w:val="0"/>
      <w:marTop w:val="0"/>
      <w:marBottom w:val="0"/>
      <w:divBdr>
        <w:top w:val="none" w:sz="0" w:space="0" w:color="auto"/>
        <w:left w:val="none" w:sz="0" w:space="0" w:color="auto"/>
        <w:bottom w:val="none" w:sz="0" w:space="0" w:color="auto"/>
        <w:right w:val="none" w:sz="0" w:space="0" w:color="auto"/>
      </w:divBdr>
    </w:div>
    <w:div w:id="818884590">
      <w:bodyDiv w:val="1"/>
      <w:marLeft w:val="0"/>
      <w:marRight w:val="0"/>
      <w:marTop w:val="0"/>
      <w:marBottom w:val="0"/>
      <w:divBdr>
        <w:top w:val="none" w:sz="0" w:space="0" w:color="auto"/>
        <w:left w:val="none" w:sz="0" w:space="0" w:color="auto"/>
        <w:bottom w:val="none" w:sz="0" w:space="0" w:color="auto"/>
        <w:right w:val="none" w:sz="0" w:space="0" w:color="auto"/>
      </w:divBdr>
    </w:div>
    <w:div w:id="998268907">
      <w:bodyDiv w:val="1"/>
      <w:marLeft w:val="0"/>
      <w:marRight w:val="0"/>
      <w:marTop w:val="0"/>
      <w:marBottom w:val="0"/>
      <w:divBdr>
        <w:top w:val="none" w:sz="0" w:space="0" w:color="auto"/>
        <w:left w:val="none" w:sz="0" w:space="0" w:color="auto"/>
        <w:bottom w:val="none" w:sz="0" w:space="0" w:color="auto"/>
        <w:right w:val="none" w:sz="0" w:space="0" w:color="auto"/>
      </w:divBdr>
    </w:div>
    <w:div w:id="1334069180">
      <w:bodyDiv w:val="1"/>
      <w:marLeft w:val="0"/>
      <w:marRight w:val="0"/>
      <w:marTop w:val="0"/>
      <w:marBottom w:val="0"/>
      <w:divBdr>
        <w:top w:val="none" w:sz="0" w:space="0" w:color="auto"/>
        <w:left w:val="none" w:sz="0" w:space="0" w:color="auto"/>
        <w:bottom w:val="none" w:sz="0" w:space="0" w:color="auto"/>
        <w:right w:val="none" w:sz="0" w:space="0" w:color="auto"/>
      </w:divBdr>
    </w:div>
    <w:div w:id="1358770514">
      <w:bodyDiv w:val="1"/>
      <w:marLeft w:val="0"/>
      <w:marRight w:val="0"/>
      <w:marTop w:val="0"/>
      <w:marBottom w:val="0"/>
      <w:divBdr>
        <w:top w:val="none" w:sz="0" w:space="0" w:color="auto"/>
        <w:left w:val="none" w:sz="0" w:space="0" w:color="auto"/>
        <w:bottom w:val="none" w:sz="0" w:space="0" w:color="auto"/>
        <w:right w:val="none" w:sz="0" w:space="0" w:color="auto"/>
      </w:divBdr>
    </w:div>
    <w:div w:id="1573810380">
      <w:bodyDiv w:val="1"/>
      <w:marLeft w:val="0"/>
      <w:marRight w:val="0"/>
      <w:marTop w:val="0"/>
      <w:marBottom w:val="0"/>
      <w:divBdr>
        <w:top w:val="none" w:sz="0" w:space="0" w:color="auto"/>
        <w:left w:val="none" w:sz="0" w:space="0" w:color="auto"/>
        <w:bottom w:val="none" w:sz="0" w:space="0" w:color="auto"/>
        <w:right w:val="none" w:sz="0" w:space="0" w:color="auto"/>
      </w:divBdr>
    </w:div>
    <w:div w:id="1645892803">
      <w:bodyDiv w:val="1"/>
      <w:marLeft w:val="0"/>
      <w:marRight w:val="0"/>
      <w:marTop w:val="0"/>
      <w:marBottom w:val="0"/>
      <w:divBdr>
        <w:top w:val="none" w:sz="0" w:space="0" w:color="auto"/>
        <w:left w:val="none" w:sz="0" w:space="0" w:color="auto"/>
        <w:bottom w:val="none" w:sz="0" w:space="0" w:color="auto"/>
        <w:right w:val="none" w:sz="0" w:space="0" w:color="auto"/>
      </w:divBdr>
    </w:div>
    <w:div w:id="20660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dopisn&#237;%20pap&#237;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dopisní papír.dot</Template>
  <TotalTime>1</TotalTime>
  <Pages>2</Pages>
  <Words>488</Words>
  <Characters>2883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Vážený pane Petře,</vt:lpstr>
    </vt:vector>
  </TitlesOfParts>
  <Company>OÚ MČ Prahy 5</Company>
  <LinksUpToDate>false</LinksUpToDate>
  <CharactersWithSpaces>3365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pane Petře,</dc:title>
  <dc:subject/>
  <dc:creator>ghymes</dc:creator>
  <cp:keywords/>
  <dc:description/>
  <cp:lastModifiedBy> </cp:lastModifiedBy>
  <cp:revision>2</cp:revision>
  <cp:lastPrinted>2013-12-11T15:00:00Z</cp:lastPrinted>
  <dcterms:created xsi:type="dcterms:W3CDTF">2013-12-13T08:33:00Z</dcterms:created>
  <dcterms:modified xsi:type="dcterms:W3CDTF">2013-12-13T08:33:00Z</dcterms:modified>
</cp:coreProperties>
</file>